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346B52" w:rsidRDefault="0047481A" w:rsidP="00BA7353">
      <w:pPr>
        <w:pStyle w:val="a4"/>
        <w:jc w:val="left"/>
        <w:rPr>
          <w:rFonts w:asciiTheme="minorHAnsi" w:hAnsiTheme="minorHAnsi" w:cstheme="minorHAnsi"/>
          <w:sz w:val="20"/>
          <w:u w:val="single"/>
        </w:rPr>
      </w:pPr>
      <w:r w:rsidRPr="00346B52">
        <w:rPr>
          <w:rFonts w:asciiTheme="minorHAnsi" w:hAnsiTheme="minorHAnsi" w:cstheme="minorHAnsi"/>
          <w:sz w:val="20"/>
          <w:u w:val="single"/>
        </w:rPr>
        <w:t xml:space="preserve">ΤΜΗΜΑ </w:t>
      </w:r>
      <w:r w:rsidR="001D2F3E" w:rsidRPr="00346B52">
        <w:rPr>
          <w:rFonts w:asciiTheme="minorHAnsi" w:hAnsiTheme="minorHAnsi" w:cstheme="minorHAnsi"/>
          <w:sz w:val="20"/>
          <w:u w:val="single"/>
        </w:rPr>
        <w:t>Γ</w:t>
      </w:r>
      <w:r w:rsidRPr="00346B52">
        <w:rPr>
          <w:rFonts w:asciiTheme="minorHAnsi" w:hAnsiTheme="minorHAnsi" w:cstheme="minorHAnsi"/>
          <w:sz w:val="20"/>
          <w:u w:val="single"/>
        </w:rPr>
        <w:t xml:space="preserve"> – </w:t>
      </w:r>
      <w:r w:rsidR="00BF6B38" w:rsidRPr="00346B52">
        <w:rPr>
          <w:rFonts w:asciiTheme="minorHAnsi" w:hAnsiTheme="minorHAnsi" w:cstheme="minorHAnsi"/>
          <w:sz w:val="20"/>
          <w:u w:val="single"/>
        </w:rPr>
        <w:t>Στοιχεία της αίτησης</w:t>
      </w:r>
      <w:r w:rsidR="00BB3F47" w:rsidRPr="00346B52">
        <w:rPr>
          <w:rFonts w:asciiTheme="minorHAnsi" w:hAnsiTheme="minorHAnsi" w:cstheme="minorHAnsi"/>
          <w:sz w:val="20"/>
          <w:u w:val="single"/>
        </w:rPr>
        <w:t>*</w:t>
      </w:r>
      <w:r w:rsidRPr="00346B52">
        <w:rPr>
          <w:rFonts w:asciiTheme="minorHAnsi" w:hAnsiTheme="minorHAnsi" w:cstheme="minorHAnsi"/>
          <w:sz w:val="20"/>
          <w:u w:val="single"/>
        </w:rPr>
        <w:t xml:space="preserve">: </w:t>
      </w:r>
    </w:p>
    <w:p w:rsidR="00BB3F47" w:rsidRPr="00346B52" w:rsidRDefault="00BB3F47" w:rsidP="00BB3F47">
      <w:pPr>
        <w:rPr>
          <w:rFonts w:asciiTheme="minorHAnsi" w:hAnsiTheme="minorHAnsi" w:cstheme="minorHAnsi"/>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2177"/>
        <w:gridCol w:w="551"/>
        <w:gridCol w:w="1386"/>
        <w:gridCol w:w="2607"/>
        <w:gridCol w:w="1579"/>
        <w:gridCol w:w="1496"/>
      </w:tblGrid>
      <w:tr w:rsidR="00D646C4" w:rsidRPr="00346B52" w:rsidTr="008C7787">
        <w:tc>
          <w:tcPr>
            <w:tcW w:w="186" w:type="pct"/>
            <w:vMerge w:val="restart"/>
            <w:tcBorders>
              <w:top w:val="nil"/>
              <w:left w:val="nil"/>
              <w:bottom w:val="nil"/>
              <w:right w:val="nil"/>
            </w:tcBorders>
            <w:shd w:val="clear" w:color="auto" w:fill="auto"/>
          </w:tcPr>
          <w:p w:rsidR="00D646C4" w:rsidRPr="00346B52" w:rsidRDefault="00D646C4" w:rsidP="0047481A">
            <w:pPr>
              <w:rPr>
                <w:rFonts w:asciiTheme="minorHAnsi" w:hAnsiTheme="minorHAnsi" w:cstheme="minorHAnsi"/>
                <w:b/>
              </w:rPr>
            </w:pPr>
            <w:r w:rsidRPr="00346B52">
              <w:rPr>
                <w:rFonts w:asciiTheme="minorHAnsi" w:hAnsiTheme="minorHAnsi" w:cstheme="minorHAnsi"/>
                <w:b/>
              </w:rPr>
              <w:t>1.</w:t>
            </w:r>
          </w:p>
        </w:tc>
        <w:tc>
          <w:tcPr>
            <w:tcW w:w="1070" w:type="pct"/>
            <w:vMerge w:val="restart"/>
            <w:tcBorders>
              <w:top w:val="nil"/>
              <w:left w:val="nil"/>
              <w:right w:val="single" w:sz="4" w:space="0" w:color="auto"/>
            </w:tcBorders>
            <w:shd w:val="clear" w:color="auto" w:fill="auto"/>
          </w:tcPr>
          <w:p w:rsidR="00D646C4" w:rsidRPr="00346B52" w:rsidRDefault="00D646C4" w:rsidP="005632A9">
            <w:pPr>
              <w:rPr>
                <w:rFonts w:asciiTheme="minorHAnsi" w:hAnsiTheme="minorHAnsi" w:cstheme="minorHAnsi"/>
                <w:b/>
              </w:rPr>
            </w:pPr>
            <w:r w:rsidRPr="00346B52">
              <w:rPr>
                <w:rFonts w:asciiTheme="minorHAnsi" w:hAnsiTheme="minorHAnsi" w:cstheme="minorHAnsi"/>
                <w:b/>
              </w:rPr>
              <w:t>Αιτούμενο/α*</w:t>
            </w:r>
          </w:p>
          <w:p w:rsidR="00D646C4" w:rsidRPr="00346B52" w:rsidRDefault="00D646C4" w:rsidP="005632A9">
            <w:pPr>
              <w:rPr>
                <w:rFonts w:asciiTheme="minorHAnsi" w:hAnsiTheme="minorHAnsi" w:cstheme="minorHAnsi"/>
                <w:b/>
              </w:rPr>
            </w:pPr>
            <w:r w:rsidRPr="00346B52">
              <w:rPr>
                <w:rFonts w:asciiTheme="minorHAnsi" w:hAnsiTheme="minorHAnsi" w:cstheme="minorHAnsi"/>
                <w:b/>
              </w:rPr>
              <w:t>Φυτοπροστατευτικό/α Προϊόν/όντα</w:t>
            </w:r>
          </w:p>
        </w:tc>
        <w:tc>
          <w:tcPr>
            <w:tcW w:w="271" w:type="pct"/>
            <w:tcBorders>
              <w:left w:val="single" w:sz="4" w:space="0" w:color="auto"/>
            </w:tcBorders>
            <w:shd w:val="clear" w:color="auto" w:fill="auto"/>
          </w:tcPr>
          <w:p w:rsidR="00D646C4" w:rsidRPr="00346B52" w:rsidRDefault="00D646C4" w:rsidP="008F0C00">
            <w:pPr>
              <w:jc w:val="center"/>
              <w:rPr>
                <w:rFonts w:asciiTheme="minorHAnsi" w:hAnsiTheme="minorHAnsi" w:cstheme="minorHAnsi"/>
                <w:b/>
              </w:rPr>
            </w:pPr>
            <w:r w:rsidRPr="00346B52">
              <w:rPr>
                <w:rFonts w:asciiTheme="minorHAnsi" w:hAnsiTheme="minorHAnsi" w:cstheme="minorHAnsi"/>
                <w:b/>
              </w:rPr>
              <w:t>α/α</w:t>
            </w:r>
          </w:p>
        </w:tc>
        <w:tc>
          <w:tcPr>
            <w:tcW w:w="681" w:type="pct"/>
            <w:tcBorders>
              <w:left w:val="single" w:sz="4" w:space="0" w:color="auto"/>
            </w:tcBorders>
            <w:shd w:val="clear" w:color="auto" w:fill="auto"/>
          </w:tcPr>
          <w:p w:rsidR="00D646C4" w:rsidRPr="00346B52" w:rsidRDefault="00D646C4" w:rsidP="008F0C00">
            <w:pPr>
              <w:jc w:val="center"/>
              <w:rPr>
                <w:rFonts w:asciiTheme="minorHAnsi" w:hAnsiTheme="minorHAnsi" w:cstheme="minorHAnsi"/>
                <w:b/>
              </w:rPr>
            </w:pPr>
            <w:r w:rsidRPr="00346B52">
              <w:rPr>
                <w:rFonts w:asciiTheme="minorHAnsi" w:hAnsiTheme="minorHAnsi" w:cstheme="minorHAnsi"/>
                <w:b/>
              </w:rPr>
              <w:t>Εμπορικό όνομα</w:t>
            </w:r>
          </w:p>
        </w:tc>
        <w:tc>
          <w:tcPr>
            <w:tcW w:w="1281" w:type="pct"/>
            <w:tcBorders>
              <w:left w:val="single" w:sz="4" w:space="0" w:color="auto"/>
            </w:tcBorders>
            <w:shd w:val="clear" w:color="auto" w:fill="auto"/>
          </w:tcPr>
          <w:p w:rsidR="00D646C4" w:rsidRPr="00346B52" w:rsidRDefault="00D646C4" w:rsidP="008F0C00">
            <w:pPr>
              <w:jc w:val="center"/>
              <w:rPr>
                <w:rFonts w:asciiTheme="minorHAnsi" w:hAnsiTheme="minorHAnsi" w:cstheme="minorHAnsi"/>
                <w:b/>
              </w:rPr>
            </w:pPr>
            <w:r w:rsidRPr="00346B52">
              <w:rPr>
                <w:rFonts w:asciiTheme="minorHAnsi" w:hAnsiTheme="minorHAnsi" w:cstheme="minorHAnsi"/>
                <w:b/>
              </w:rPr>
              <w:t>Δραστική/ες ουσία/ες</w:t>
            </w:r>
          </w:p>
        </w:tc>
        <w:tc>
          <w:tcPr>
            <w:tcW w:w="776" w:type="pct"/>
            <w:tcBorders>
              <w:left w:val="single" w:sz="4" w:space="0" w:color="auto"/>
            </w:tcBorders>
            <w:shd w:val="clear" w:color="auto" w:fill="auto"/>
          </w:tcPr>
          <w:p w:rsidR="00D646C4" w:rsidRPr="00346B52" w:rsidRDefault="00D646C4" w:rsidP="008F0C00">
            <w:pPr>
              <w:jc w:val="center"/>
              <w:rPr>
                <w:rFonts w:asciiTheme="minorHAnsi" w:hAnsiTheme="minorHAnsi" w:cstheme="minorHAnsi"/>
                <w:b/>
              </w:rPr>
            </w:pPr>
            <w:r w:rsidRPr="00346B52">
              <w:rPr>
                <w:rFonts w:asciiTheme="minorHAnsi" w:hAnsiTheme="minorHAnsi" w:cstheme="minorHAnsi"/>
                <w:b/>
              </w:rPr>
              <w:t>ΑΑΔΑ</w:t>
            </w:r>
          </w:p>
          <w:p w:rsidR="00D646C4" w:rsidRPr="00346B52" w:rsidRDefault="00D646C4" w:rsidP="008F0C00">
            <w:pPr>
              <w:jc w:val="center"/>
              <w:rPr>
                <w:rFonts w:asciiTheme="minorHAnsi" w:hAnsiTheme="minorHAnsi" w:cstheme="minorHAnsi"/>
                <w:b/>
              </w:rPr>
            </w:pPr>
            <w:r w:rsidRPr="00346B52">
              <w:rPr>
                <w:rFonts w:asciiTheme="minorHAnsi" w:hAnsiTheme="minorHAnsi" w:cstheme="minorHAnsi"/>
                <w:b/>
              </w:rPr>
              <w:t xml:space="preserve"> (αν υφίσταται)</w:t>
            </w:r>
          </w:p>
        </w:tc>
        <w:tc>
          <w:tcPr>
            <w:tcW w:w="735" w:type="pct"/>
            <w:tcBorders>
              <w:left w:val="single" w:sz="4" w:space="0" w:color="auto"/>
            </w:tcBorders>
          </w:tcPr>
          <w:p w:rsidR="00D646C4" w:rsidRPr="00346B52" w:rsidRDefault="00D646C4" w:rsidP="00AD4FBC">
            <w:pPr>
              <w:jc w:val="center"/>
              <w:rPr>
                <w:rFonts w:asciiTheme="minorHAnsi" w:hAnsiTheme="minorHAnsi" w:cstheme="minorHAnsi"/>
                <w:b/>
              </w:rPr>
            </w:pPr>
            <w:r w:rsidRPr="00346B52">
              <w:rPr>
                <w:rFonts w:asciiTheme="minorHAnsi" w:hAnsiTheme="minorHAnsi" w:cstheme="minorHAnsi"/>
                <w:b/>
                <w:lang w:val="en-US"/>
              </w:rPr>
              <w:t>PPPAMS</w:t>
            </w:r>
            <w:r w:rsidR="00AD4FBC" w:rsidRPr="00346B52">
              <w:rPr>
                <w:rFonts w:asciiTheme="minorHAnsi" w:hAnsiTheme="minorHAnsi" w:cstheme="minorHAnsi"/>
                <w:b/>
              </w:rPr>
              <w:t xml:space="preserve"> (αποδεικτικό)</w:t>
            </w:r>
          </w:p>
        </w:tc>
      </w:tr>
      <w:tr w:rsidR="000A6678" w:rsidRPr="00346B52" w:rsidTr="008C7787">
        <w:tc>
          <w:tcPr>
            <w:tcW w:w="186" w:type="pct"/>
            <w:vMerge/>
            <w:tcBorders>
              <w:left w:val="nil"/>
              <w:bottom w:val="nil"/>
              <w:right w:val="nil"/>
            </w:tcBorders>
            <w:shd w:val="clear" w:color="auto" w:fill="auto"/>
          </w:tcPr>
          <w:p w:rsidR="000A6678" w:rsidRPr="00346B52" w:rsidRDefault="000A6678" w:rsidP="000A6678">
            <w:pPr>
              <w:rPr>
                <w:rFonts w:asciiTheme="minorHAnsi" w:hAnsiTheme="minorHAnsi" w:cstheme="minorHAnsi"/>
                <w:b/>
              </w:rPr>
            </w:pPr>
          </w:p>
        </w:tc>
        <w:tc>
          <w:tcPr>
            <w:tcW w:w="1070" w:type="pct"/>
            <w:vMerge/>
            <w:tcBorders>
              <w:left w:val="nil"/>
              <w:right w:val="single" w:sz="4" w:space="0" w:color="auto"/>
            </w:tcBorders>
            <w:shd w:val="clear" w:color="auto" w:fill="auto"/>
          </w:tcPr>
          <w:p w:rsidR="000A6678" w:rsidRPr="00346B52" w:rsidRDefault="000A6678" w:rsidP="000A6678">
            <w:pPr>
              <w:rPr>
                <w:rFonts w:asciiTheme="minorHAnsi" w:hAnsiTheme="minorHAnsi" w:cstheme="minorHAnsi"/>
                <w:b/>
              </w:rPr>
            </w:pPr>
          </w:p>
        </w:tc>
        <w:tc>
          <w:tcPr>
            <w:tcW w:w="271" w:type="pct"/>
            <w:tcBorders>
              <w:left w:val="single" w:sz="4" w:space="0" w:color="auto"/>
            </w:tcBorders>
            <w:shd w:val="clear" w:color="auto" w:fill="auto"/>
          </w:tcPr>
          <w:p w:rsidR="000A6678" w:rsidRPr="00346B52" w:rsidRDefault="000A6678" w:rsidP="000A6678">
            <w:pPr>
              <w:rPr>
                <w:rFonts w:asciiTheme="minorHAnsi" w:hAnsiTheme="minorHAnsi" w:cstheme="minorHAnsi"/>
              </w:rPr>
            </w:pPr>
          </w:p>
        </w:tc>
        <w:tc>
          <w:tcPr>
            <w:tcW w:w="681" w:type="pct"/>
            <w:tcBorders>
              <w:left w:val="single" w:sz="4" w:space="0" w:color="auto"/>
            </w:tcBorders>
            <w:shd w:val="clear" w:color="auto" w:fill="auto"/>
          </w:tcPr>
          <w:p w:rsidR="000A6678" w:rsidRPr="00346B52" w:rsidRDefault="009778DE" w:rsidP="000A6678">
            <w:pPr>
              <w:jc w:val="center"/>
              <w:rPr>
                <w:rFonts w:asciiTheme="minorHAnsi" w:hAnsiTheme="minorHAnsi" w:cstheme="minorHAnsi"/>
                <w:lang w:val="en-US"/>
              </w:rPr>
            </w:pPr>
            <w:r w:rsidRPr="00346B52">
              <w:rPr>
                <w:rFonts w:asciiTheme="minorHAnsi" w:hAnsiTheme="minorHAnsi" w:cstheme="minorHAnsi"/>
                <w:lang w:val="en-US"/>
              </w:rPr>
              <w:t>PHEROWAX-</w:t>
            </w:r>
            <w:proofErr w:type="spellStart"/>
            <w:r w:rsidR="00F70161">
              <w:rPr>
                <w:rFonts w:asciiTheme="minorHAnsi" w:hAnsiTheme="minorHAnsi" w:cstheme="minorHAnsi"/>
                <w:lang w:val="en-US"/>
              </w:rPr>
              <w:t>SpoF</w:t>
            </w:r>
            <w:r w:rsidRPr="00346B52">
              <w:rPr>
                <w:rFonts w:asciiTheme="minorHAnsi" w:hAnsiTheme="minorHAnsi" w:cstheme="minorHAnsi"/>
                <w:lang w:val="en-US"/>
              </w:rPr>
              <w:t>ru</w:t>
            </w:r>
            <w:proofErr w:type="spellEnd"/>
          </w:p>
        </w:tc>
        <w:tc>
          <w:tcPr>
            <w:tcW w:w="1281" w:type="pct"/>
            <w:tcBorders>
              <w:left w:val="single" w:sz="4" w:space="0" w:color="auto"/>
            </w:tcBorders>
            <w:shd w:val="clear" w:color="auto" w:fill="auto"/>
          </w:tcPr>
          <w:p w:rsidR="008C7787" w:rsidRPr="00346B52" w:rsidRDefault="008C7787" w:rsidP="008C7787">
            <w:pPr>
              <w:jc w:val="center"/>
              <w:rPr>
                <w:rFonts w:asciiTheme="minorHAnsi" w:hAnsiTheme="minorHAnsi" w:cstheme="minorHAnsi"/>
                <w:lang w:val="en-US"/>
              </w:rPr>
            </w:pPr>
            <w:r w:rsidRPr="00346B52">
              <w:rPr>
                <w:rFonts w:asciiTheme="minorHAnsi" w:hAnsiTheme="minorHAnsi" w:cstheme="minorHAnsi"/>
                <w:lang w:val="en-US"/>
              </w:rPr>
              <w:t>(Z)-9-tetradecen-1-yl acetate</w:t>
            </w:r>
          </w:p>
          <w:p w:rsidR="000A6678" w:rsidRPr="00346B52" w:rsidRDefault="008C7787" w:rsidP="008C7787">
            <w:pPr>
              <w:rPr>
                <w:rFonts w:asciiTheme="minorHAnsi" w:hAnsiTheme="minorHAnsi" w:cstheme="minorHAnsi"/>
                <w:lang w:val="en-US"/>
              </w:rPr>
            </w:pPr>
            <w:r w:rsidRPr="00346B52">
              <w:rPr>
                <w:rFonts w:asciiTheme="minorHAnsi" w:hAnsiTheme="minorHAnsi" w:cstheme="minorHAnsi"/>
                <w:lang w:val="en-US"/>
              </w:rPr>
              <w:t xml:space="preserve">(Z)-11-hexadecen-1-yl acetate </w:t>
            </w:r>
          </w:p>
        </w:tc>
        <w:tc>
          <w:tcPr>
            <w:tcW w:w="776" w:type="pct"/>
            <w:tcBorders>
              <w:left w:val="single" w:sz="4" w:space="0" w:color="auto"/>
            </w:tcBorders>
            <w:shd w:val="clear" w:color="auto" w:fill="auto"/>
          </w:tcPr>
          <w:p w:rsidR="000A6678" w:rsidRPr="00346B52" w:rsidRDefault="000A6678" w:rsidP="000A6678">
            <w:pPr>
              <w:rPr>
                <w:rFonts w:asciiTheme="minorHAnsi" w:hAnsiTheme="minorHAnsi" w:cstheme="minorHAnsi"/>
                <w:lang w:val="en-US"/>
              </w:rPr>
            </w:pPr>
          </w:p>
        </w:tc>
        <w:tc>
          <w:tcPr>
            <w:tcW w:w="735" w:type="pct"/>
            <w:tcBorders>
              <w:left w:val="single" w:sz="4" w:space="0" w:color="auto"/>
            </w:tcBorders>
          </w:tcPr>
          <w:p w:rsidR="000A6678" w:rsidRPr="00346B52" w:rsidRDefault="00B90D93" w:rsidP="000A6678">
            <w:pPr>
              <w:rPr>
                <w:rFonts w:asciiTheme="minorHAnsi" w:hAnsiTheme="minorHAnsi" w:cstheme="minorHAnsi"/>
                <w:lang w:val="en-US"/>
              </w:rPr>
            </w:pPr>
            <w:r w:rsidRPr="00B90D93">
              <w:rPr>
                <w:rFonts w:asciiTheme="minorHAnsi" w:hAnsiTheme="minorHAnsi" w:cstheme="minorHAnsi"/>
                <w:lang w:val="en-US"/>
              </w:rPr>
              <w:t>PPP-2024-26076</w:t>
            </w:r>
          </w:p>
        </w:tc>
      </w:tr>
    </w:tbl>
    <w:p w:rsidR="004C51F9" w:rsidRPr="00346B52" w:rsidRDefault="004C51F9">
      <w:pPr>
        <w:rPr>
          <w:rFonts w:asciiTheme="minorHAnsi" w:hAnsiTheme="minorHAnsi"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346B52" w:rsidTr="008F0C00">
        <w:tc>
          <w:tcPr>
            <w:tcW w:w="392" w:type="dxa"/>
            <w:tcBorders>
              <w:top w:val="nil"/>
              <w:left w:val="nil"/>
              <w:bottom w:val="nil"/>
              <w:right w:val="nil"/>
            </w:tcBorders>
            <w:shd w:val="clear" w:color="auto" w:fill="auto"/>
          </w:tcPr>
          <w:p w:rsidR="003433BD" w:rsidRPr="00346B52" w:rsidRDefault="003433BD" w:rsidP="0047481A">
            <w:pPr>
              <w:rPr>
                <w:rFonts w:asciiTheme="minorHAnsi" w:hAnsiTheme="minorHAnsi" w:cstheme="minorHAnsi"/>
                <w:b/>
              </w:rPr>
            </w:pPr>
            <w:r w:rsidRPr="00346B52">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rsidR="003433BD" w:rsidRPr="00346B52" w:rsidRDefault="003433BD" w:rsidP="0047481A">
            <w:pPr>
              <w:rPr>
                <w:rFonts w:asciiTheme="minorHAnsi" w:hAnsiTheme="minorHAnsi" w:cstheme="minorHAnsi"/>
                <w:b/>
              </w:rPr>
            </w:pPr>
            <w:r w:rsidRPr="00346B52">
              <w:rPr>
                <w:rFonts w:asciiTheme="minorHAnsi" w:hAnsiTheme="minorHAnsi" w:cstheme="minorHAnsi"/>
                <w:b/>
              </w:rPr>
              <w:t>Πεδίο εφαρμογής</w:t>
            </w:r>
            <w:r w:rsidR="00F20778" w:rsidRPr="00346B52">
              <w:rPr>
                <w:rFonts w:asciiTheme="minorHAnsi" w:hAnsiTheme="minorHAnsi" w:cstheme="minorHAnsi"/>
                <w:b/>
              </w:rPr>
              <w:t>*</w:t>
            </w:r>
            <w:r w:rsidRPr="00346B52">
              <w:rPr>
                <w:rFonts w:asciiTheme="minorHAnsi" w:hAnsiTheme="minorHAnsi" w:cstheme="minorHAnsi"/>
                <w:b/>
              </w:rPr>
              <w:t>:</w:t>
            </w:r>
          </w:p>
        </w:tc>
        <w:tc>
          <w:tcPr>
            <w:tcW w:w="7676" w:type="dxa"/>
            <w:tcBorders>
              <w:left w:val="single" w:sz="4" w:space="0" w:color="auto"/>
            </w:tcBorders>
            <w:shd w:val="clear" w:color="auto" w:fill="auto"/>
          </w:tcPr>
          <w:p w:rsidR="003433BD" w:rsidRPr="00346B52" w:rsidRDefault="00294F00" w:rsidP="0047481A">
            <w:pPr>
              <w:rPr>
                <w:rFonts w:asciiTheme="minorHAnsi" w:hAnsiTheme="minorHAnsi" w:cstheme="minorHAnsi"/>
              </w:rPr>
            </w:pPr>
            <w:r w:rsidRPr="00346B52">
              <w:rPr>
                <w:rFonts w:asciiTheme="minorHAnsi" w:hAnsiTheme="minorHAnsi" w:cstheme="minorHAnsi"/>
              </w:rPr>
              <w:t>Βαμβάκι</w:t>
            </w:r>
            <w:r w:rsidR="001D119A" w:rsidRPr="00346B52">
              <w:rPr>
                <w:rFonts w:asciiTheme="minorHAnsi" w:hAnsiTheme="minorHAnsi" w:cstheme="minorHAnsi"/>
              </w:rPr>
              <w:t>, για επαγγελματίες χρήστες</w:t>
            </w:r>
          </w:p>
        </w:tc>
      </w:tr>
    </w:tbl>
    <w:p w:rsidR="00F20778" w:rsidRPr="00346B52" w:rsidRDefault="00F2077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346B52" w:rsidTr="008F0C00">
        <w:tc>
          <w:tcPr>
            <w:tcW w:w="392" w:type="dxa"/>
            <w:tcBorders>
              <w:top w:val="nil"/>
              <w:left w:val="nil"/>
              <w:bottom w:val="nil"/>
              <w:right w:val="nil"/>
            </w:tcBorders>
            <w:shd w:val="clear" w:color="auto" w:fill="auto"/>
          </w:tcPr>
          <w:p w:rsidR="003433BD" w:rsidRPr="00346B52" w:rsidRDefault="003433BD" w:rsidP="0047481A">
            <w:pPr>
              <w:rPr>
                <w:rFonts w:asciiTheme="minorHAnsi" w:hAnsiTheme="minorHAnsi" w:cstheme="minorHAnsi"/>
                <w:b/>
              </w:rPr>
            </w:pPr>
            <w:r w:rsidRPr="00346B52">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rsidR="003433BD" w:rsidRPr="00346B52" w:rsidRDefault="003433BD" w:rsidP="0047481A">
            <w:pPr>
              <w:rPr>
                <w:rFonts w:asciiTheme="minorHAnsi" w:hAnsiTheme="minorHAnsi" w:cstheme="minorHAnsi"/>
                <w:b/>
              </w:rPr>
            </w:pPr>
            <w:r w:rsidRPr="00346B52">
              <w:rPr>
                <w:rFonts w:asciiTheme="minorHAnsi" w:hAnsiTheme="minorHAnsi" w:cstheme="minorHAnsi"/>
                <w:b/>
              </w:rPr>
              <w:t>Στόχος:</w:t>
            </w:r>
          </w:p>
        </w:tc>
        <w:tc>
          <w:tcPr>
            <w:tcW w:w="7676" w:type="dxa"/>
            <w:tcBorders>
              <w:left w:val="single" w:sz="4" w:space="0" w:color="auto"/>
            </w:tcBorders>
            <w:shd w:val="clear" w:color="auto" w:fill="auto"/>
          </w:tcPr>
          <w:p w:rsidR="00E90690" w:rsidRPr="00346B52" w:rsidRDefault="008C7787" w:rsidP="00E90690">
            <w:pPr>
              <w:rPr>
                <w:rFonts w:asciiTheme="minorHAnsi" w:hAnsiTheme="minorHAnsi" w:cstheme="minorHAnsi"/>
              </w:rPr>
            </w:pPr>
            <w:r w:rsidRPr="00346B52">
              <w:rPr>
                <w:rFonts w:asciiTheme="minorHAnsi" w:hAnsiTheme="minorHAnsi" w:cstheme="minorHAnsi"/>
                <w:b/>
                <w:i/>
                <w:iCs/>
                <w:u w:val="single"/>
                <w:lang w:val="en-US"/>
              </w:rPr>
              <w:t>Spodoptera frugiperda</w:t>
            </w:r>
            <w:r w:rsidRPr="00346B52">
              <w:rPr>
                <w:rFonts w:asciiTheme="minorHAnsi" w:hAnsiTheme="minorHAnsi" w:cstheme="minorHAnsi"/>
                <w:b/>
                <w:u w:val="single"/>
              </w:rPr>
              <w:t xml:space="preserve"> </w:t>
            </w:r>
          </w:p>
        </w:tc>
      </w:tr>
    </w:tbl>
    <w:p w:rsidR="00D646C4" w:rsidRPr="00346B52" w:rsidRDefault="00D646C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
        <w:gridCol w:w="2852"/>
        <w:gridCol w:w="3034"/>
        <w:gridCol w:w="3929"/>
      </w:tblGrid>
      <w:tr w:rsidR="003433BD" w:rsidRPr="00346B52" w:rsidTr="000A6678">
        <w:trPr>
          <w:trHeight w:val="368"/>
        </w:trPr>
        <w:tc>
          <w:tcPr>
            <w:tcW w:w="186" w:type="pct"/>
            <w:vMerge w:val="restart"/>
            <w:tcBorders>
              <w:top w:val="nil"/>
              <w:left w:val="nil"/>
              <w:bottom w:val="nil"/>
              <w:right w:val="nil"/>
            </w:tcBorders>
            <w:shd w:val="clear" w:color="auto" w:fill="auto"/>
          </w:tcPr>
          <w:p w:rsidR="003433BD" w:rsidRPr="00346B52" w:rsidRDefault="003433BD" w:rsidP="0047481A">
            <w:pPr>
              <w:rPr>
                <w:rFonts w:asciiTheme="minorHAnsi" w:hAnsiTheme="minorHAnsi" w:cstheme="minorHAnsi"/>
                <w:b/>
              </w:rPr>
            </w:pPr>
            <w:r w:rsidRPr="00346B52">
              <w:rPr>
                <w:rFonts w:asciiTheme="minorHAnsi" w:hAnsiTheme="minorHAnsi" w:cstheme="minorHAnsi"/>
                <w:b/>
              </w:rPr>
              <w:t>4.</w:t>
            </w:r>
          </w:p>
        </w:tc>
        <w:tc>
          <w:tcPr>
            <w:tcW w:w="1399" w:type="pct"/>
            <w:vMerge w:val="restart"/>
            <w:tcBorders>
              <w:top w:val="nil"/>
              <w:left w:val="nil"/>
              <w:right w:val="single" w:sz="4" w:space="0" w:color="auto"/>
            </w:tcBorders>
            <w:shd w:val="clear" w:color="auto" w:fill="auto"/>
          </w:tcPr>
          <w:p w:rsidR="003433BD" w:rsidRPr="00346B52" w:rsidRDefault="003433BD" w:rsidP="0047481A">
            <w:pPr>
              <w:rPr>
                <w:rFonts w:asciiTheme="minorHAnsi" w:hAnsiTheme="minorHAnsi" w:cstheme="minorHAnsi"/>
                <w:b/>
              </w:rPr>
            </w:pPr>
            <w:r w:rsidRPr="00346B52">
              <w:rPr>
                <w:rFonts w:asciiTheme="minorHAnsi" w:hAnsiTheme="minorHAnsi" w:cstheme="minorHAnsi"/>
                <w:b/>
              </w:rPr>
              <w:t>Χρονικό διάστημα για το οποίο αιτείται η παρέκκλιση:</w:t>
            </w:r>
          </w:p>
        </w:tc>
        <w:tc>
          <w:tcPr>
            <w:tcW w:w="1488" w:type="pct"/>
            <w:tcBorders>
              <w:left w:val="single" w:sz="4" w:space="0" w:color="auto"/>
            </w:tcBorders>
            <w:shd w:val="clear" w:color="auto" w:fill="auto"/>
          </w:tcPr>
          <w:p w:rsidR="003433BD" w:rsidRPr="00346B52" w:rsidRDefault="003433BD" w:rsidP="008F0C00">
            <w:pPr>
              <w:jc w:val="center"/>
              <w:rPr>
                <w:rFonts w:asciiTheme="minorHAnsi" w:hAnsiTheme="minorHAnsi" w:cstheme="minorHAnsi"/>
                <w:b/>
              </w:rPr>
            </w:pPr>
            <w:r w:rsidRPr="00346B52">
              <w:rPr>
                <w:rFonts w:asciiTheme="minorHAnsi" w:hAnsiTheme="minorHAnsi" w:cstheme="minorHAnsi"/>
                <w:b/>
              </w:rPr>
              <w:t>Έναρξη</w:t>
            </w:r>
          </w:p>
        </w:tc>
        <w:tc>
          <w:tcPr>
            <w:tcW w:w="1927" w:type="pct"/>
            <w:tcBorders>
              <w:left w:val="single" w:sz="4" w:space="0" w:color="auto"/>
            </w:tcBorders>
            <w:shd w:val="clear" w:color="auto" w:fill="auto"/>
          </w:tcPr>
          <w:p w:rsidR="003433BD" w:rsidRPr="00346B52" w:rsidRDefault="003433BD" w:rsidP="008F0C00">
            <w:pPr>
              <w:jc w:val="center"/>
              <w:rPr>
                <w:rFonts w:asciiTheme="minorHAnsi" w:hAnsiTheme="minorHAnsi" w:cstheme="minorHAnsi"/>
                <w:b/>
              </w:rPr>
            </w:pPr>
            <w:r w:rsidRPr="00346B52">
              <w:rPr>
                <w:rFonts w:asciiTheme="minorHAnsi" w:hAnsiTheme="minorHAnsi" w:cstheme="minorHAnsi"/>
                <w:b/>
              </w:rPr>
              <w:t>Λήξη</w:t>
            </w:r>
          </w:p>
        </w:tc>
      </w:tr>
      <w:tr w:rsidR="000A6678" w:rsidRPr="00346B52" w:rsidTr="000A6678">
        <w:trPr>
          <w:trHeight w:val="367"/>
        </w:trPr>
        <w:tc>
          <w:tcPr>
            <w:tcW w:w="186" w:type="pct"/>
            <w:vMerge/>
            <w:tcBorders>
              <w:left w:val="nil"/>
              <w:bottom w:val="nil"/>
              <w:right w:val="nil"/>
            </w:tcBorders>
            <w:shd w:val="clear" w:color="auto" w:fill="auto"/>
          </w:tcPr>
          <w:p w:rsidR="000A6678" w:rsidRPr="00346B52" w:rsidRDefault="000A6678" w:rsidP="000A6678">
            <w:pPr>
              <w:rPr>
                <w:rFonts w:asciiTheme="minorHAnsi" w:hAnsiTheme="minorHAnsi" w:cstheme="minorHAnsi"/>
                <w:b/>
              </w:rPr>
            </w:pPr>
          </w:p>
        </w:tc>
        <w:tc>
          <w:tcPr>
            <w:tcW w:w="1399" w:type="pct"/>
            <w:vMerge/>
            <w:tcBorders>
              <w:left w:val="nil"/>
              <w:bottom w:val="nil"/>
              <w:right w:val="single" w:sz="4" w:space="0" w:color="auto"/>
            </w:tcBorders>
            <w:shd w:val="clear" w:color="auto" w:fill="auto"/>
          </w:tcPr>
          <w:p w:rsidR="000A6678" w:rsidRPr="00346B52" w:rsidRDefault="000A6678" w:rsidP="000A6678">
            <w:pPr>
              <w:rPr>
                <w:rFonts w:asciiTheme="minorHAnsi" w:hAnsiTheme="minorHAnsi" w:cstheme="minorHAnsi"/>
                <w:b/>
              </w:rPr>
            </w:pPr>
          </w:p>
        </w:tc>
        <w:tc>
          <w:tcPr>
            <w:tcW w:w="1488" w:type="pct"/>
            <w:tcBorders>
              <w:left w:val="single" w:sz="4" w:space="0" w:color="auto"/>
            </w:tcBorders>
            <w:shd w:val="clear" w:color="auto" w:fill="auto"/>
          </w:tcPr>
          <w:p w:rsidR="000A6678" w:rsidRPr="00346B52" w:rsidRDefault="009778DE" w:rsidP="000A6678">
            <w:pPr>
              <w:jc w:val="center"/>
              <w:rPr>
                <w:rFonts w:asciiTheme="minorHAnsi" w:hAnsiTheme="minorHAnsi" w:cstheme="minorHAnsi"/>
                <w:iCs/>
              </w:rPr>
            </w:pPr>
            <w:r w:rsidRPr="00346B52">
              <w:rPr>
                <w:rFonts w:asciiTheme="minorHAnsi" w:hAnsiTheme="minorHAnsi" w:cstheme="minorHAnsi"/>
                <w:iCs/>
                <w:lang w:val="en-US"/>
              </w:rPr>
              <w:t>0</w:t>
            </w:r>
            <w:r w:rsidR="008C7787" w:rsidRPr="00346B52">
              <w:rPr>
                <w:rFonts w:asciiTheme="minorHAnsi" w:hAnsiTheme="minorHAnsi" w:cstheme="minorHAnsi"/>
                <w:iCs/>
              </w:rPr>
              <w:t>1</w:t>
            </w:r>
            <w:r w:rsidR="000A6678" w:rsidRPr="00346B52">
              <w:rPr>
                <w:rFonts w:asciiTheme="minorHAnsi" w:hAnsiTheme="minorHAnsi" w:cstheme="minorHAnsi"/>
                <w:iCs/>
                <w:lang w:val="en-US"/>
              </w:rPr>
              <w:t>/0</w:t>
            </w:r>
            <w:r w:rsidR="00B90D93">
              <w:rPr>
                <w:rFonts w:asciiTheme="minorHAnsi" w:hAnsiTheme="minorHAnsi" w:cstheme="minorHAnsi"/>
                <w:iCs/>
              </w:rPr>
              <w:t>6</w:t>
            </w:r>
            <w:r w:rsidR="000A6678" w:rsidRPr="00346B52">
              <w:rPr>
                <w:rFonts w:asciiTheme="minorHAnsi" w:hAnsiTheme="minorHAnsi" w:cstheme="minorHAnsi"/>
                <w:iCs/>
                <w:lang w:val="en-US"/>
              </w:rPr>
              <w:t>/202</w:t>
            </w:r>
            <w:r w:rsidR="008C7787" w:rsidRPr="00346B52">
              <w:rPr>
                <w:rFonts w:asciiTheme="minorHAnsi" w:hAnsiTheme="minorHAnsi" w:cstheme="minorHAnsi"/>
                <w:iCs/>
              </w:rPr>
              <w:t>4</w:t>
            </w:r>
          </w:p>
        </w:tc>
        <w:tc>
          <w:tcPr>
            <w:tcW w:w="1927" w:type="pct"/>
            <w:tcBorders>
              <w:left w:val="single" w:sz="4" w:space="0" w:color="auto"/>
            </w:tcBorders>
            <w:shd w:val="clear" w:color="auto" w:fill="auto"/>
          </w:tcPr>
          <w:p w:rsidR="000A6678" w:rsidRPr="00346B52" w:rsidRDefault="008C7787" w:rsidP="000A6678">
            <w:pPr>
              <w:jc w:val="center"/>
              <w:rPr>
                <w:rFonts w:asciiTheme="minorHAnsi" w:hAnsiTheme="minorHAnsi" w:cstheme="minorHAnsi"/>
              </w:rPr>
            </w:pPr>
            <w:r w:rsidRPr="00346B52">
              <w:rPr>
                <w:rFonts w:asciiTheme="minorHAnsi" w:hAnsiTheme="minorHAnsi" w:cstheme="minorHAnsi"/>
              </w:rPr>
              <w:t>3</w:t>
            </w:r>
            <w:r w:rsidR="00B03974">
              <w:rPr>
                <w:rFonts w:asciiTheme="minorHAnsi" w:hAnsiTheme="minorHAnsi" w:cstheme="minorHAnsi"/>
              </w:rPr>
              <w:t>0</w:t>
            </w:r>
            <w:r w:rsidR="000A6678" w:rsidRPr="00346B52">
              <w:rPr>
                <w:rFonts w:asciiTheme="minorHAnsi" w:hAnsiTheme="minorHAnsi" w:cstheme="minorHAnsi"/>
                <w:lang w:val="en-US"/>
              </w:rPr>
              <w:t>/0</w:t>
            </w:r>
            <w:r w:rsidR="00B90D93">
              <w:rPr>
                <w:rFonts w:asciiTheme="minorHAnsi" w:hAnsiTheme="minorHAnsi" w:cstheme="minorHAnsi"/>
              </w:rPr>
              <w:t>9</w:t>
            </w:r>
            <w:r w:rsidR="000A6678" w:rsidRPr="00346B52">
              <w:rPr>
                <w:rFonts w:asciiTheme="minorHAnsi" w:hAnsiTheme="minorHAnsi" w:cstheme="minorHAnsi"/>
                <w:lang w:val="en-US"/>
              </w:rPr>
              <w:t>/202</w:t>
            </w:r>
            <w:r w:rsidRPr="00346B52">
              <w:rPr>
                <w:rFonts w:asciiTheme="minorHAnsi" w:hAnsiTheme="minorHAnsi" w:cstheme="minorHAnsi"/>
              </w:rPr>
              <w:t>4</w:t>
            </w:r>
          </w:p>
        </w:tc>
      </w:tr>
    </w:tbl>
    <w:p w:rsidR="000A6678" w:rsidRPr="00346B52" w:rsidRDefault="000A6678" w:rsidP="000A6678">
      <w:pPr>
        <w:rPr>
          <w:rFonts w:asciiTheme="minorHAnsi" w:hAnsiTheme="minorHAnsi" w:cstheme="minorHAnsi"/>
        </w:rPr>
      </w:pPr>
      <w:bookmarkStart w:id="0" w:name="_Hlk1654533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683"/>
        <w:gridCol w:w="4875"/>
      </w:tblGrid>
      <w:tr w:rsidR="000A6678" w:rsidRPr="00346B52" w:rsidTr="00346B52">
        <w:tc>
          <w:tcPr>
            <w:tcW w:w="420" w:type="dxa"/>
            <w:tcBorders>
              <w:top w:val="nil"/>
              <w:left w:val="nil"/>
              <w:bottom w:val="nil"/>
              <w:right w:val="nil"/>
            </w:tcBorders>
            <w:shd w:val="clear" w:color="auto" w:fill="auto"/>
          </w:tcPr>
          <w:p w:rsidR="000A6678" w:rsidRPr="00346B52" w:rsidRDefault="000A6678" w:rsidP="00CB2106">
            <w:pPr>
              <w:rPr>
                <w:rFonts w:asciiTheme="minorHAnsi" w:hAnsiTheme="minorHAnsi" w:cstheme="minorHAnsi"/>
                <w:b/>
              </w:rPr>
            </w:pPr>
            <w:r w:rsidRPr="00346B52">
              <w:rPr>
                <w:rFonts w:asciiTheme="minorHAnsi" w:hAnsiTheme="minorHAnsi" w:cstheme="minorHAnsi"/>
                <w:b/>
              </w:rPr>
              <w:t>5.</w:t>
            </w:r>
          </w:p>
        </w:tc>
        <w:tc>
          <w:tcPr>
            <w:tcW w:w="9558" w:type="dxa"/>
            <w:gridSpan w:val="2"/>
            <w:tcBorders>
              <w:top w:val="nil"/>
              <w:left w:val="nil"/>
              <w:right w:val="nil"/>
            </w:tcBorders>
            <w:shd w:val="clear" w:color="auto" w:fill="auto"/>
          </w:tcPr>
          <w:p w:rsidR="000A6678" w:rsidRPr="00346B52" w:rsidRDefault="000A6678" w:rsidP="00CB2106">
            <w:pPr>
              <w:rPr>
                <w:rFonts w:asciiTheme="minorHAnsi" w:hAnsiTheme="minorHAnsi" w:cstheme="minorHAnsi"/>
                <w:b/>
              </w:rPr>
            </w:pPr>
            <w:r w:rsidRPr="00346B52">
              <w:rPr>
                <w:rFonts w:asciiTheme="minorHAnsi" w:hAnsiTheme="minorHAnsi" w:cstheme="minorHAnsi"/>
                <w:b/>
              </w:rPr>
              <w:t>Βασική αιτιολόγηση του κινδύνου*:</w:t>
            </w:r>
          </w:p>
        </w:tc>
      </w:tr>
      <w:tr w:rsidR="000A6678" w:rsidRPr="00346B52" w:rsidTr="00B90D93">
        <w:tc>
          <w:tcPr>
            <w:tcW w:w="420" w:type="dxa"/>
            <w:tcBorders>
              <w:top w:val="nil"/>
              <w:left w:val="nil"/>
              <w:right w:val="single" w:sz="4" w:space="0" w:color="auto"/>
            </w:tcBorders>
            <w:shd w:val="clear" w:color="auto" w:fill="auto"/>
          </w:tcPr>
          <w:p w:rsidR="000A6678" w:rsidRPr="00346B52" w:rsidRDefault="000A6678" w:rsidP="00CB2106">
            <w:pPr>
              <w:rPr>
                <w:rFonts w:asciiTheme="minorHAnsi" w:hAnsiTheme="minorHAnsi" w:cstheme="minorHAnsi"/>
                <w:b/>
              </w:rPr>
            </w:pPr>
          </w:p>
        </w:tc>
        <w:tc>
          <w:tcPr>
            <w:tcW w:w="4683" w:type="dxa"/>
            <w:tcBorders>
              <w:left w:val="single" w:sz="4" w:space="0" w:color="auto"/>
            </w:tcBorders>
            <w:shd w:val="clear" w:color="auto" w:fill="auto"/>
          </w:tcPr>
          <w:p w:rsidR="000A6678" w:rsidRPr="00346B52" w:rsidRDefault="000A6678" w:rsidP="00CB2106">
            <w:pPr>
              <w:jc w:val="center"/>
              <w:rPr>
                <w:rFonts w:asciiTheme="minorHAnsi" w:hAnsiTheme="minorHAnsi" w:cstheme="minorHAnsi"/>
                <w:b/>
              </w:rPr>
            </w:pPr>
            <w:r w:rsidRPr="00346B52">
              <w:rPr>
                <w:rFonts w:asciiTheme="minorHAnsi" w:hAnsiTheme="minorHAnsi" w:cstheme="minorHAnsi"/>
                <w:b/>
              </w:rPr>
              <w:t>Περιπτώσεις</w:t>
            </w:r>
          </w:p>
        </w:tc>
        <w:tc>
          <w:tcPr>
            <w:tcW w:w="4875" w:type="dxa"/>
            <w:tcBorders>
              <w:left w:val="single" w:sz="4" w:space="0" w:color="auto"/>
            </w:tcBorders>
            <w:shd w:val="clear" w:color="auto" w:fill="auto"/>
          </w:tcPr>
          <w:p w:rsidR="000A6678" w:rsidRPr="00346B52" w:rsidRDefault="000A6678" w:rsidP="00CB2106">
            <w:pPr>
              <w:jc w:val="center"/>
              <w:rPr>
                <w:rFonts w:asciiTheme="minorHAnsi" w:hAnsiTheme="minorHAnsi" w:cstheme="minorHAnsi"/>
                <w:b/>
                <w:lang w:val="en-US"/>
              </w:rPr>
            </w:pPr>
            <w:r w:rsidRPr="00346B52">
              <w:rPr>
                <w:rFonts w:asciiTheme="minorHAnsi" w:hAnsiTheme="minorHAnsi" w:cstheme="minorHAnsi"/>
                <w:b/>
              </w:rPr>
              <w:t>Αιτιολόγηση</w:t>
            </w:r>
          </w:p>
        </w:tc>
      </w:tr>
      <w:tr w:rsidR="000A6678" w:rsidRPr="00346B52" w:rsidTr="00B90D93">
        <w:tc>
          <w:tcPr>
            <w:tcW w:w="420" w:type="dxa"/>
            <w:tcBorders>
              <w:left w:val="nil"/>
              <w:right w:val="single" w:sz="4" w:space="0" w:color="auto"/>
            </w:tcBorders>
            <w:shd w:val="clear" w:color="auto" w:fill="auto"/>
          </w:tcPr>
          <w:p w:rsidR="000A6678" w:rsidRPr="00346B52" w:rsidRDefault="000A6678" w:rsidP="00CB2106">
            <w:pPr>
              <w:rPr>
                <w:rFonts w:asciiTheme="minorHAnsi" w:hAnsiTheme="minorHAnsi" w:cstheme="minorHAnsi"/>
              </w:rPr>
            </w:pPr>
            <w:r w:rsidRPr="00346B52">
              <w:rPr>
                <w:rFonts w:asciiTheme="minorHAnsi" w:hAnsiTheme="minorHAnsi" w:cstheme="minorHAnsi"/>
              </w:rPr>
              <w:t>1)</w:t>
            </w:r>
          </w:p>
        </w:tc>
        <w:tc>
          <w:tcPr>
            <w:tcW w:w="4683" w:type="dxa"/>
            <w:tcBorders>
              <w:left w:val="single" w:sz="4" w:space="0" w:color="auto"/>
            </w:tcBorders>
            <w:shd w:val="clear" w:color="auto" w:fill="auto"/>
          </w:tcPr>
          <w:p w:rsidR="000A6678" w:rsidRPr="00346B52" w:rsidRDefault="000A6678" w:rsidP="00CB2106">
            <w:pPr>
              <w:jc w:val="both"/>
              <w:rPr>
                <w:rFonts w:asciiTheme="minorHAnsi" w:hAnsiTheme="minorHAnsi" w:cstheme="minorHAnsi"/>
              </w:rPr>
            </w:pPr>
            <w:r w:rsidRPr="00346B52">
              <w:rPr>
                <w:rFonts w:asciiTheme="minorHAnsi" w:hAnsiTheme="minorHAnsi" w:cstheme="minorHAnsi"/>
              </w:rPr>
              <w:t xml:space="preserve">Απουσία εγκεκριμένων </w:t>
            </w:r>
            <w:proofErr w:type="spellStart"/>
            <w:r w:rsidRPr="00346B52">
              <w:rPr>
                <w:rFonts w:asciiTheme="minorHAnsi" w:hAnsiTheme="minorHAnsi" w:cstheme="minorHAnsi"/>
              </w:rPr>
              <w:t>φ.π</w:t>
            </w:r>
            <w:proofErr w:type="spellEnd"/>
            <w:r w:rsidRPr="00346B52">
              <w:rPr>
                <w:rFonts w:asciiTheme="minorHAnsi" w:hAnsiTheme="minorHAnsi" w:cstheme="minorHAnsi"/>
              </w:rPr>
              <w:t>. και μη χημικών μεθόδων αντιμετώπισης για την αιτούμενη χρήση</w:t>
            </w:r>
          </w:p>
        </w:tc>
        <w:tc>
          <w:tcPr>
            <w:tcW w:w="4875" w:type="dxa"/>
            <w:tcBorders>
              <w:left w:val="single" w:sz="4" w:space="0" w:color="auto"/>
            </w:tcBorders>
            <w:shd w:val="clear" w:color="auto" w:fill="auto"/>
          </w:tcPr>
          <w:p w:rsidR="00346B52" w:rsidRPr="00346B52" w:rsidRDefault="00346B52" w:rsidP="00346B52">
            <w:pPr>
              <w:autoSpaceDE w:val="0"/>
              <w:autoSpaceDN w:val="0"/>
              <w:adjustRightInd w:val="0"/>
              <w:spacing w:before="120" w:line="300" w:lineRule="exact"/>
              <w:contextualSpacing/>
              <w:jc w:val="both"/>
              <w:rPr>
                <w:rFonts w:asciiTheme="minorHAnsi" w:hAnsiTheme="minorHAnsi" w:cstheme="minorHAnsi"/>
                <w:iCs/>
              </w:rPr>
            </w:pPr>
            <w:r w:rsidRPr="00346B52">
              <w:rPr>
                <w:rFonts w:asciiTheme="minorHAnsi" w:hAnsiTheme="minorHAnsi" w:cstheme="minorHAnsi"/>
                <w:iCs/>
              </w:rPr>
              <w:t xml:space="preserve">Δεν υπάρχουν έως τώρα σκευάσματά εγκεκριμένα στην Ευρώπη που να έχουν </w:t>
            </w:r>
            <w:proofErr w:type="spellStart"/>
            <w:r w:rsidRPr="00346B52">
              <w:rPr>
                <w:rFonts w:asciiTheme="minorHAnsi" w:hAnsiTheme="minorHAnsi" w:cstheme="minorHAnsi"/>
                <w:iCs/>
              </w:rPr>
              <w:t>αδειοδοτηθεί</w:t>
            </w:r>
            <w:proofErr w:type="spellEnd"/>
            <w:r w:rsidRPr="00346B52">
              <w:rPr>
                <w:rFonts w:asciiTheme="minorHAnsi" w:hAnsiTheme="minorHAnsi" w:cstheme="minorHAnsi"/>
                <w:iCs/>
              </w:rPr>
              <w:t xml:space="preserve"> για την αντιμετώπιση του εντόμου, κατόπιν αξιολόγησης.</w:t>
            </w:r>
          </w:p>
          <w:p w:rsidR="00346B52" w:rsidRPr="00346B52" w:rsidRDefault="00346B52" w:rsidP="00346B52">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Είναι άγνωστο ακόμα σε ποιες καλλιέργειες θα εγκατασταθεί στη χώρα μας, σε ποιες από αυτές θα προκαλέσει ζημιά και αν υπάρχουν εγκεκριμένες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xml:space="preserve">. στις συγκεκριμένες καλλιέργειες. Παρά τις εγκρίσεις που έδωσε το ΥΠΑΑΤ μπορεί να υπάρξει καλλιέργεια ξενιστής όπου δεν θα υπάρχουν εγκεκριμένες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αφού το έντομο είναι πολυφάγο.</w:t>
            </w:r>
          </w:p>
          <w:p w:rsidR="00346B52" w:rsidRPr="00346B52" w:rsidRDefault="00346B52" w:rsidP="00346B52">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Ακόμα και στην περίπτωση εγκρίσεων συμβατικών σκευασμάτων,  οι βιοκαλλιεργητές που θα κληθούν να αντιμετωπίσουν πιθανή προσβολή από το έντομο, δε θα έχουν εργαλεία φυτοπροστασίας. Σε πρόσφατη Ημερίδα στο ΓΠΑ αναφέρθηκε ανθεκτικότητα του εντόμου στο </w:t>
            </w:r>
            <w:proofErr w:type="spellStart"/>
            <w:r w:rsidRPr="00346B52">
              <w:rPr>
                <w:rFonts w:asciiTheme="minorHAnsi" w:hAnsiTheme="minorHAnsi" w:cstheme="minorHAnsi"/>
                <w:iCs/>
              </w:rPr>
              <w:t>εντομοπαθογόνο</w:t>
            </w:r>
            <w:proofErr w:type="spellEnd"/>
            <w:r w:rsidRPr="00346B52">
              <w:rPr>
                <w:rFonts w:asciiTheme="minorHAnsi" w:hAnsiTheme="minorHAnsi" w:cstheme="minorHAnsi"/>
                <w:iCs/>
              </w:rPr>
              <w:t xml:space="preserve"> βακτήριο </w:t>
            </w:r>
            <w:proofErr w:type="spellStart"/>
            <w:r w:rsidRPr="00346B52">
              <w:rPr>
                <w:rFonts w:asciiTheme="minorHAnsi" w:hAnsiTheme="minorHAnsi" w:cstheme="minorHAnsi"/>
                <w:i/>
                <w:iCs/>
              </w:rPr>
              <w:t>Bacillus</w:t>
            </w:r>
            <w:proofErr w:type="spellEnd"/>
            <w:r w:rsidRPr="00346B52">
              <w:rPr>
                <w:rFonts w:asciiTheme="minorHAnsi" w:hAnsiTheme="minorHAnsi" w:cstheme="minorHAnsi"/>
                <w:i/>
                <w:iCs/>
              </w:rPr>
              <w:t xml:space="preserve"> </w:t>
            </w:r>
            <w:proofErr w:type="spellStart"/>
            <w:r w:rsidRPr="00346B52">
              <w:rPr>
                <w:rFonts w:asciiTheme="minorHAnsi" w:hAnsiTheme="minorHAnsi" w:cstheme="minorHAnsi"/>
                <w:i/>
                <w:iCs/>
              </w:rPr>
              <w:t>thuringiensis</w:t>
            </w:r>
            <w:proofErr w:type="spellEnd"/>
            <w:r w:rsidRPr="00346B52">
              <w:rPr>
                <w:rFonts w:asciiTheme="minorHAnsi" w:hAnsiTheme="minorHAnsi" w:cstheme="minorHAnsi"/>
                <w:iCs/>
              </w:rPr>
              <w:t>, κάτι που δυσκολεύει ακόμα περισσότερο τη αντιμετώπιση του εντόμου στη βιολογική γεωργία.</w:t>
            </w:r>
          </w:p>
          <w:p w:rsidR="000A6678" w:rsidRPr="00346B52" w:rsidRDefault="000A6678" w:rsidP="00CB2106">
            <w:pPr>
              <w:rPr>
                <w:rFonts w:asciiTheme="minorHAnsi" w:hAnsiTheme="minorHAnsi" w:cstheme="minorHAnsi"/>
              </w:rPr>
            </w:pPr>
          </w:p>
        </w:tc>
      </w:tr>
      <w:tr w:rsidR="00B90D93" w:rsidRPr="00346B52" w:rsidTr="00B90D93">
        <w:tc>
          <w:tcPr>
            <w:tcW w:w="420" w:type="dxa"/>
            <w:tcBorders>
              <w:left w:val="nil"/>
              <w:right w:val="single" w:sz="4" w:space="0" w:color="auto"/>
            </w:tcBorders>
            <w:shd w:val="clear" w:color="auto" w:fill="auto"/>
          </w:tcPr>
          <w:p w:rsidR="00B90D93" w:rsidRPr="00346B52" w:rsidRDefault="00B90D93" w:rsidP="00CB2106">
            <w:pPr>
              <w:rPr>
                <w:rFonts w:asciiTheme="minorHAnsi" w:hAnsiTheme="minorHAnsi" w:cstheme="minorHAnsi"/>
              </w:rPr>
            </w:pPr>
            <w:r w:rsidRPr="00346B52">
              <w:rPr>
                <w:rFonts w:asciiTheme="minorHAnsi" w:hAnsiTheme="minorHAnsi" w:cstheme="minorHAnsi"/>
              </w:rPr>
              <w:t>3.1)</w:t>
            </w:r>
          </w:p>
        </w:tc>
        <w:tc>
          <w:tcPr>
            <w:tcW w:w="4683" w:type="dxa"/>
            <w:tcBorders>
              <w:left w:val="single" w:sz="4" w:space="0" w:color="auto"/>
            </w:tcBorders>
            <w:shd w:val="clear" w:color="auto" w:fill="auto"/>
          </w:tcPr>
          <w:p w:rsidR="00B90D93" w:rsidRPr="00346B52" w:rsidRDefault="00B90D93" w:rsidP="00CB2106">
            <w:pPr>
              <w:jc w:val="both"/>
              <w:rPr>
                <w:rFonts w:asciiTheme="minorHAnsi" w:hAnsiTheme="minorHAnsi" w:cstheme="minorHAnsi"/>
              </w:rPr>
            </w:pPr>
            <w:r w:rsidRPr="00346B52">
              <w:rPr>
                <w:rFonts w:asciiTheme="minorHAnsi" w:hAnsiTheme="minorHAnsi" w:cstheme="minorHAnsi"/>
              </w:rPr>
              <w:t>Η πιθανότητα ανάπτυξης ανθεκτικότητας βάσει του τρόπου δράσης των ήδη εγκεκριμένων φπ</w:t>
            </w:r>
          </w:p>
        </w:tc>
        <w:tc>
          <w:tcPr>
            <w:tcW w:w="4875" w:type="dxa"/>
            <w:vMerge w:val="restart"/>
            <w:tcBorders>
              <w:left w:val="single" w:sz="4" w:space="0" w:color="auto"/>
            </w:tcBorders>
            <w:shd w:val="clear" w:color="auto" w:fill="auto"/>
          </w:tcPr>
          <w:p w:rsidR="00B90D93" w:rsidRPr="00346B52" w:rsidRDefault="00B90D93" w:rsidP="00346B52">
            <w:pPr>
              <w:autoSpaceDE w:val="0"/>
              <w:autoSpaceDN w:val="0"/>
              <w:adjustRightInd w:val="0"/>
              <w:spacing w:before="120" w:line="300" w:lineRule="exact"/>
              <w:contextualSpacing/>
              <w:jc w:val="both"/>
              <w:rPr>
                <w:rFonts w:asciiTheme="minorHAnsi" w:hAnsiTheme="minorHAnsi" w:cstheme="minorHAnsi"/>
                <w:iCs/>
              </w:rPr>
            </w:pPr>
            <w:r w:rsidRPr="00346B52">
              <w:rPr>
                <w:rFonts w:asciiTheme="minorHAnsi" w:hAnsiTheme="minorHAnsi" w:cstheme="minorHAnsi"/>
                <w:iCs/>
              </w:rPr>
              <w:t>Η μέθοδός παρεμπόδισης σύζευξης είναι απαραίτητη και καθοριστική στη διαχείριση της ανθεκτικότητας.</w:t>
            </w:r>
          </w:p>
          <w:p w:rsidR="00B90D93" w:rsidRPr="00346B52" w:rsidRDefault="00B90D93" w:rsidP="00346B52">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Δεδομένου ότι το </w:t>
            </w:r>
            <w:proofErr w:type="spellStart"/>
            <w:r w:rsidRPr="00346B52">
              <w:rPr>
                <w:rFonts w:asciiTheme="minorHAnsi" w:hAnsiTheme="minorHAnsi" w:cstheme="minorHAnsi"/>
                <w:i/>
                <w:iCs/>
              </w:rPr>
              <w:t>Spodoptera</w:t>
            </w:r>
            <w:proofErr w:type="spellEnd"/>
            <w:r w:rsidRPr="00346B52">
              <w:rPr>
                <w:rFonts w:asciiTheme="minorHAnsi" w:hAnsiTheme="minorHAnsi" w:cstheme="minorHAnsi"/>
                <w:i/>
                <w:iCs/>
              </w:rPr>
              <w:t xml:space="preserve"> </w:t>
            </w:r>
            <w:proofErr w:type="spellStart"/>
            <w:r w:rsidRPr="00346B52">
              <w:rPr>
                <w:rFonts w:asciiTheme="minorHAnsi" w:hAnsiTheme="minorHAnsi" w:cstheme="minorHAnsi"/>
                <w:i/>
                <w:iCs/>
              </w:rPr>
              <w:t>frugiperda</w:t>
            </w:r>
            <w:proofErr w:type="spellEnd"/>
            <w:r w:rsidRPr="00346B52">
              <w:rPr>
                <w:rFonts w:asciiTheme="minorHAnsi" w:hAnsiTheme="minorHAnsi" w:cstheme="minorHAnsi"/>
                <w:iCs/>
              </w:rPr>
              <w:t xml:space="preserve"> είναι πολυφάγο έντομο με εκτιμώμενο αριθμό </w:t>
            </w:r>
            <w:r w:rsidRPr="00346B52">
              <w:rPr>
                <w:rFonts w:asciiTheme="minorHAnsi" w:hAnsiTheme="minorHAnsi" w:cstheme="minorHAnsi"/>
                <w:b/>
                <w:iCs/>
              </w:rPr>
              <w:t>τριών</w:t>
            </w:r>
            <w:r w:rsidRPr="00346B52">
              <w:rPr>
                <w:rFonts w:asciiTheme="minorHAnsi" w:hAnsiTheme="minorHAnsi" w:cstheme="minorHAnsi"/>
                <w:iCs/>
              </w:rPr>
              <w:t xml:space="preserve"> γενεών ανά έτος στις κλιματολογικές συνθήκες της Ελλάδας (έχουν αναφερθεί έως και 6 σε τροπικές και υποτροπικές περιοχές) και με πολλούς τοπικούς πληθυσμούς να έχουν αναπτύξει ανθεκτικότητα σε έως και 47 χρησιμοποιούμενες </w:t>
            </w:r>
            <w:r>
              <w:rPr>
                <w:rFonts w:asciiTheme="minorHAnsi" w:hAnsiTheme="minorHAnsi" w:cstheme="minorHAnsi"/>
                <w:iCs/>
              </w:rPr>
              <w:t>δ</w:t>
            </w:r>
            <w:r w:rsidRPr="00346B52">
              <w:rPr>
                <w:rFonts w:asciiTheme="minorHAnsi" w:hAnsiTheme="minorHAnsi" w:cstheme="minorHAnsi"/>
                <w:iCs/>
              </w:rPr>
              <w:t xml:space="preserve">ραστικές </w:t>
            </w:r>
            <w:r>
              <w:rPr>
                <w:rFonts w:asciiTheme="minorHAnsi" w:hAnsiTheme="minorHAnsi" w:cstheme="minorHAnsi"/>
                <w:iCs/>
              </w:rPr>
              <w:t>ο</w:t>
            </w:r>
            <w:r w:rsidRPr="00346B52">
              <w:rPr>
                <w:rFonts w:asciiTheme="minorHAnsi" w:hAnsiTheme="minorHAnsi" w:cstheme="minorHAnsi"/>
                <w:iCs/>
              </w:rPr>
              <w:t xml:space="preserve">υσίες, ο κίνδυνος ανάπτυξης ανθεκτικότητας ακόμα και σε μη ανθεκτικούς πληθυσμούς καθίσταται πιθανότερος </w:t>
            </w:r>
            <w:r w:rsidRPr="00346B52">
              <w:rPr>
                <w:rFonts w:asciiTheme="minorHAnsi" w:hAnsiTheme="minorHAnsi" w:cstheme="minorHAnsi"/>
                <w:b/>
                <w:iCs/>
              </w:rPr>
              <w:t>με τη συχνή χρήση</w:t>
            </w:r>
            <w:r w:rsidRPr="00346B52">
              <w:rPr>
                <w:rFonts w:asciiTheme="minorHAnsi" w:hAnsiTheme="minorHAnsi" w:cstheme="minorHAnsi"/>
                <w:iCs/>
              </w:rPr>
              <w:t xml:space="preserve"> συμβατικών σκευασμάτων. Εφαρμόζοντας τη Μέθοδο Παρεμπόδισης των Συζεύξεων οι εφαρμογές των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θα μειωθούν και επομένως θα μειωθεί και η πιθανότητα εμφάνισης ανθεκτικότητας (είναι πιο προσιτή η διαχείριση αποφυγής ανθεκτικότητας).</w:t>
            </w:r>
          </w:p>
          <w:p w:rsidR="00B90D93" w:rsidRPr="00346B52" w:rsidRDefault="00B90D93" w:rsidP="00346B52">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lastRenderedPageBreak/>
              <w:t xml:space="preserve">Σύμφωνα με το άρθρο 3.3, πρέπει να φροντίσουμε </w:t>
            </w:r>
            <w:r w:rsidRPr="00346B52">
              <w:rPr>
                <w:rFonts w:asciiTheme="minorHAnsi" w:hAnsiTheme="minorHAnsi" w:cstheme="minorHAnsi"/>
                <w:b/>
                <w:iCs/>
              </w:rPr>
              <w:t>να αποκλειστεί η πιθανότητα ανάπτυξης ανθεκτικότητας</w:t>
            </w:r>
            <w:r w:rsidRPr="00346B52">
              <w:rPr>
                <w:rFonts w:asciiTheme="minorHAnsi" w:hAnsiTheme="minorHAnsi" w:cstheme="minorHAnsi"/>
                <w:iCs/>
              </w:rPr>
              <w:t xml:space="preserve"> στις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xml:space="preserve">. Δεδομένου λοιπόν ότι στη διεθνή βιβλιογραφία, σε διεθνείς επιστημονικούς ιστότοπους όπως ο IRAC, ο APRD και στον  επιστημονικό </w:t>
            </w:r>
            <w:proofErr w:type="spellStart"/>
            <w:r w:rsidRPr="00346B52">
              <w:rPr>
                <w:rFonts w:asciiTheme="minorHAnsi" w:hAnsiTheme="minorHAnsi" w:cstheme="minorHAnsi"/>
                <w:iCs/>
              </w:rPr>
              <w:t>ιστότοπο</w:t>
            </w:r>
            <w:proofErr w:type="spellEnd"/>
            <w:r w:rsidRPr="00346B52">
              <w:rPr>
                <w:rFonts w:asciiTheme="minorHAnsi" w:hAnsiTheme="minorHAnsi" w:cstheme="minorHAnsi"/>
                <w:iCs/>
              </w:rPr>
              <w:t xml:space="preserve"> «ΓΑΛΑΝΘΟΣ» αναφέρονται ήδη περιπτώσεις και μελέτες ανάπτυξης ανθεκτικότητας σε έντομα της οικογένειας </w:t>
            </w:r>
            <w:proofErr w:type="spellStart"/>
            <w:r w:rsidRPr="00346B52">
              <w:rPr>
                <w:rFonts w:asciiTheme="minorHAnsi" w:hAnsiTheme="minorHAnsi" w:cstheme="minorHAnsi"/>
                <w:iCs/>
              </w:rPr>
              <w:t>Noctuidae</w:t>
            </w:r>
            <w:proofErr w:type="spellEnd"/>
            <w:r w:rsidRPr="00346B52">
              <w:rPr>
                <w:rFonts w:asciiTheme="minorHAnsi" w:hAnsiTheme="minorHAnsi" w:cstheme="minorHAnsi"/>
                <w:iCs/>
              </w:rPr>
              <w:t xml:space="preserve"> και ενώ είναι στοιχειοθετημένη η ανάπτυξη ανθεκτικότητας πληθυσμών </w:t>
            </w:r>
            <w:r w:rsidRPr="00346B52">
              <w:rPr>
                <w:rFonts w:asciiTheme="minorHAnsi" w:hAnsiTheme="minorHAnsi" w:cstheme="minorHAnsi"/>
                <w:i/>
                <w:iCs/>
              </w:rPr>
              <w:t xml:space="preserve">S. </w:t>
            </w:r>
            <w:proofErr w:type="spellStart"/>
            <w:r w:rsidRPr="00346B52">
              <w:rPr>
                <w:rFonts w:asciiTheme="minorHAnsi" w:hAnsiTheme="minorHAnsi" w:cstheme="minorHAnsi"/>
                <w:i/>
                <w:iCs/>
              </w:rPr>
              <w:t>frugiperda</w:t>
            </w:r>
            <w:proofErr w:type="spellEnd"/>
            <w:r w:rsidRPr="00346B52">
              <w:rPr>
                <w:rFonts w:asciiTheme="minorHAnsi" w:hAnsiTheme="minorHAnsi" w:cstheme="minorHAnsi"/>
                <w:i/>
                <w:iCs/>
              </w:rPr>
              <w:t xml:space="preserve"> </w:t>
            </w:r>
            <w:r w:rsidRPr="00346B52">
              <w:rPr>
                <w:rFonts w:asciiTheme="minorHAnsi" w:hAnsiTheme="minorHAnsi" w:cstheme="minorHAnsi"/>
                <w:iCs/>
              </w:rPr>
              <w:t xml:space="preserve">σε πολλές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xml:space="preserve">., γίνεται επιτακτική η ανάγκη συνετούς διαχείρισης των εγκεκριμένων και αποτελεσματικών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κατά τρόπο ώστε να μην επιβαρύνεται το σύστημα.</w:t>
            </w:r>
          </w:p>
          <w:p w:rsidR="00B90D93" w:rsidRPr="00346B52" w:rsidRDefault="00B90D93" w:rsidP="00346B52">
            <w:pPr>
              <w:autoSpaceDE w:val="0"/>
              <w:autoSpaceDN w:val="0"/>
              <w:adjustRightInd w:val="0"/>
              <w:spacing w:before="120" w:line="300" w:lineRule="exact"/>
              <w:jc w:val="both"/>
              <w:rPr>
                <w:rFonts w:asciiTheme="minorHAnsi" w:hAnsiTheme="minorHAnsi" w:cstheme="minorHAnsi"/>
              </w:rPr>
            </w:pPr>
            <w:r w:rsidRPr="00346B52">
              <w:rPr>
                <w:rFonts w:asciiTheme="minorHAnsi" w:hAnsiTheme="minorHAnsi" w:cstheme="minorHAnsi"/>
                <w:iCs/>
              </w:rPr>
              <w:t>Η Μέθοδος Παρεμπόδισης των Συζεύξεων αποτελεί κύριο εργαλείο ολοκληρωμένης διαχείρισης φυτοπροστασίας και μπορεί να ενταχθεί σε όλα τα προγράμματα των παραγωγών.</w:t>
            </w:r>
            <w:r w:rsidRPr="00346B52">
              <w:rPr>
                <w:rFonts w:asciiTheme="minorHAnsi" w:hAnsiTheme="minorHAnsi" w:cstheme="minorHAnsi"/>
              </w:rPr>
              <w:t xml:space="preserve"> Να σημειωθεί ότι λόγω του τρόπου επίδρασης στα έντομα δεν συμμετέχει στους μηχανισμούς ανάπτυξης ανθεκτικότητας των εντόμων.</w:t>
            </w:r>
          </w:p>
          <w:p w:rsidR="00B90D93" w:rsidRPr="00346B52" w:rsidRDefault="00B90D93" w:rsidP="00CB2106">
            <w:pPr>
              <w:rPr>
                <w:rFonts w:asciiTheme="minorHAnsi" w:hAnsiTheme="minorHAnsi" w:cstheme="minorHAnsi"/>
              </w:rPr>
            </w:pPr>
          </w:p>
        </w:tc>
      </w:tr>
      <w:tr w:rsidR="00B90D93" w:rsidRPr="00346B52" w:rsidTr="00B90D93">
        <w:tc>
          <w:tcPr>
            <w:tcW w:w="420" w:type="dxa"/>
            <w:tcBorders>
              <w:left w:val="nil"/>
              <w:right w:val="single" w:sz="4" w:space="0" w:color="auto"/>
            </w:tcBorders>
            <w:shd w:val="clear" w:color="auto" w:fill="auto"/>
          </w:tcPr>
          <w:p w:rsidR="00B90D93" w:rsidRPr="00346B52" w:rsidRDefault="00B90D93" w:rsidP="00CB2106">
            <w:pPr>
              <w:rPr>
                <w:rFonts w:asciiTheme="minorHAnsi" w:hAnsiTheme="minorHAnsi" w:cstheme="minorHAnsi"/>
              </w:rPr>
            </w:pPr>
            <w:r w:rsidRPr="00346B52">
              <w:rPr>
                <w:rFonts w:asciiTheme="minorHAnsi" w:hAnsiTheme="minorHAnsi" w:cstheme="minorHAnsi"/>
              </w:rPr>
              <w:t>3.2)</w:t>
            </w:r>
          </w:p>
        </w:tc>
        <w:tc>
          <w:tcPr>
            <w:tcW w:w="4683" w:type="dxa"/>
            <w:tcBorders>
              <w:left w:val="single" w:sz="4" w:space="0" w:color="auto"/>
            </w:tcBorders>
            <w:shd w:val="clear" w:color="auto" w:fill="auto"/>
          </w:tcPr>
          <w:p w:rsidR="00B90D93" w:rsidRPr="00346B52" w:rsidRDefault="00B90D93" w:rsidP="00CB2106">
            <w:pPr>
              <w:ind w:right="-143"/>
              <w:jc w:val="both"/>
              <w:rPr>
                <w:rFonts w:asciiTheme="minorHAnsi" w:hAnsiTheme="minorHAnsi" w:cstheme="minorHAnsi"/>
                <w:color w:val="000000"/>
              </w:rPr>
            </w:pPr>
            <w:r w:rsidRPr="00346B52">
              <w:rPr>
                <w:rFonts w:asciiTheme="minorHAnsi" w:hAnsiTheme="minorHAnsi" w:cstheme="minorHAnsi"/>
              </w:rPr>
              <w:t>Κάθε τεκμηριωμένη περίπτωση ανεπτυγμένης ανθεκτικότητας στα εγκεκριμένα φπ***</w:t>
            </w:r>
          </w:p>
        </w:tc>
        <w:tc>
          <w:tcPr>
            <w:tcW w:w="4875" w:type="dxa"/>
            <w:vMerge/>
            <w:tcBorders>
              <w:left w:val="single" w:sz="4" w:space="0" w:color="auto"/>
            </w:tcBorders>
            <w:shd w:val="clear" w:color="auto" w:fill="auto"/>
          </w:tcPr>
          <w:p w:rsidR="00B90D93" w:rsidRPr="00346B52" w:rsidRDefault="00B90D93" w:rsidP="00CB2106">
            <w:pPr>
              <w:rPr>
                <w:rFonts w:asciiTheme="minorHAnsi" w:hAnsiTheme="minorHAnsi" w:cstheme="minorHAnsi"/>
              </w:rPr>
            </w:pPr>
          </w:p>
        </w:tc>
      </w:tr>
      <w:tr w:rsidR="00B90D93" w:rsidRPr="00346B52" w:rsidTr="00B90D93">
        <w:tc>
          <w:tcPr>
            <w:tcW w:w="420" w:type="dxa"/>
            <w:tcBorders>
              <w:left w:val="nil"/>
              <w:right w:val="single" w:sz="4" w:space="0" w:color="auto"/>
            </w:tcBorders>
            <w:shd w:val="clear" w:color="auto" w:fill="auto"/>
          </w:tcPr>
          <w:p w:rsidR="00B90D93" w:rsidRPr="00346B52" w:rsidRDefault="00B90D93" w:rsidP="009778DE">
            <w:pPr>
              <w:rPr>
                <w:rFonts w:asciiTheme="minorHAnsi" w:hAnsiTheme="minorHAnsi" w:cstheme="minorHAnsi"/>
              </w:rPr>
            </w:pPr>
            <w:r w:rsidRPr="00346B52">
              <w:rPr>
                <w:rFonts w:asciiTheme="minorHAnsi" w:hAnsiTheme="minorHAnsi" w:cstheme="minorHAnsi"/>
              </w:rPr>
              <w:lastRenderedPageBreak/>
              <w:t>5.1)</w:t>
            </w:r>
          </w:p>
        </w:tc>
        <w:tc>
          <w:tcPr>
            <w:tcW w:w="4683" w:type="dxa"/>
            <w:tcBorders>
              <w:left w:val="single" w:sz="4" w:space="0" w:color="auto"/>
            </w:tcBorders>
            <w:shd w:val="clear" w:color="auto" w:fill="auto"/>
          </w:tcPr>
          <w:p w:rsidR="00B90D93" w:rsidRPr="00346B52" w:rsidRDefault="00B90D93" w:rsidP="009778DE">
            <w:pPr>
              <w:jc w:val="both"/>
              <w:rPr>
                <w:rFonts w:asciiTheme="minorHAnsi" w:hAnsiTheme="minorHAnsi" w:cstheme="minorHAnsi"/>
              </w:rPr>
            </w:pPr>
            <w:r w:rsidRPr="00346B52">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4875" w:type="dxa"/>
            <w:vMerge w:val="restart"/>
            <w:tcBorders>
              <w:left w:val="single" w:sz="4" w:space="0" w:color="auto"/>
            </w:tcBorders>
            <w:shd w:val="clear" w:color="auto" w:fill="auto"/>
          </w:tcPr>
          <w:p w:rsidR="00B90D93" w:rsidRPr="00346B52" w:rsidRDefault="00B90D93" w:rsidP="00B90D93">
            <w:pPr>
              <w:autoSpaceDE w:val="0"/>
              <w:autoSpaceDN w:val="0"/>
              <w:adjustRightInd w:val="0"/>
              <w:spacing w:before="120" w:line="300" w:lineRule="exact"/>
              <w:contextualSpacing/>
              <w:jc w:val="both"/>
              <w:rPr>
                <w:rFonts w:asciiTheme="minorHAnsi" w:hAnsiTheme="minorHAnsi" w:cstheme="minorHAnsi"/>
              </w:rPr>
            </w:pPr>
            <w:r w:rsidRPr="00346B52">
              <w:rPr>
                <w:rFonts w:asciiTheme="minorHAnsi" w:hAnsiTheme="minorHAnsi" w:cstheme="minorHAnsi"/>
                <w:iCs/>
              </w:rPr>
              <w:t>Η Μέθοδος Παρεμπόδισης των Συζεύξεων εφαρμόζεται ανεξάρτητα από το βλαστικό στάδιο των καλλιεργειών και μπορεί να εφαρμοστεί καθ’ όλη την καλλιεργητική περίοδο και να συνδυαστεί με όλους τους τρόπους αντιμετώπισης της.</w:t>
            </w:r>
          </w:p>
        </w:tc>
      </w:tr>
      <w:tr w:rsidR="00B90D93" w:rsidRPr="00346B52" w:rsidTr="00B90D93">
        <w:tc>
          <w:tcPr>
            <w:tcW w:w="420" w:type="dxa"/>
            <w:tcBorders>
              <w:left w:val="nil"/>
              <w:right w:val="single" w:sz="4" w:space="0" w:color="auto"/>
            </w:tcBorders>
            <w:shd w:val="clear" w:color="auto" w:fill="auto"/>
          </w:tcPr>
          <w:p w:rsidR="00B90D93" w:rsidRPr="00346B52" w:rsidRDefault="00B90D93" w:rsidP="009778DE">
            <w:pPr>
              <w:rPr>
                <w:rFonts w:asciiTheme="minorHAnsi" w:hAnsiTheme="minorHAnsi" w:cstheme="minorHAnsi"/>
              </w:rPr>
            </w:pPr>
            <w:r w:rsidRPr="00346B52">
              <w:rPr>
                <w:rFonts w:asciiTheme="minorHAnsi" w:hAnsiTheme="minorHAnsi" w:cstheme="minorHAnsi"/>
              </w:rPr>
              <w:t>5.2)</w:t>
            </w:r>
          </w:p>
        </w:tc>
        <w:tc>
          <w:tcPr>
            <w:tcW w:w="4683" w:type="dxa"/>
            <w:tcBorders>
              <w:left w:val="single" w:sz="4" w:space="0" w:color="auto"/>
            </w:tcBorders>
            <w:shd w:val="clear" w:color="auto" w:fill="auto"/>
          </w:tcPr>
          <w:p w:rsidR="00B90D93" w:rsidRPr="00346B52" w:rsidRDefault="00B90D93" w:rsidP="009778DE">
            <w:pPr>
              <w:jc w:val="both"/>
              <w:rPr>
                <w:rFonts w:asciiTheme="minorHAnsi" w:hAnsiTheme="minorHAnsi" w:cstheme="minorHAnsi"/>
              </w:rPr>
            </w:pPr>
            <w:r w:rsidRPr="00346B52">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4875" w:type="dxa"/>
            <w:vMerge/>
            <w:tcBorders>
              <w:left w:val="single" w:sz="4" w:space="0" w:color="auto"/>
            </w:tcBorders>
            <w:shd w:val="clear" w:color="auto" w:fill="auto"/>
          </w:tcPr>
          <w:p w:rsidR="00B90D93" w:rsidRPr="00346B52" w:rsidRDefault="00B90D93" w:rsidP="009778DE">
            <w:pPr>
              <w:rPr>
                <w:rFonts w:asciiTheme="minorHAnsi" w:hAnsiTheme="minorHAnsi" w:cstheme="minorHAnsi"/>
              </w:rPr>
            </w:pPr>
          </w:p>
        </w:tc>
      </w:tr>
      <w:tr w:rsidR="009778DE" w:rsidRPr="00346B52" w:rsidTr="00B90D93">
        <w:tc>
          <w:tcPr>
            <w:tcW w:w="420" w:type="dxa"/>
            <w:tcBorders>
              <w:left w:val="nil"/>
              <w:right w:val="single" w:sz="4" w:space="0" w:color="auto"/>
            </w:tcBorders>
            <w:shd w:val="clear" w:color="auto" w:fill="auto"/>
          </w:tcPr>
          <w:p w:rsidR="009778DE" w:rsidRPr="00346B52" w:rsidRDefault="009778DE" w:rsidP="009778DE">
            <w:pPr>
              <w:rPr>
                <w:rFonts w:asciiTheme="minorHAnsi" w:hAnsiTheme="minorHAnsi" w:cstheme="minorHAnsi"/>
              </w:rPr>
            </w:pPr>
            <w:r w:rsidRPr="00346B52">
              <w:rPr>
                <w:rFonts w:asciiTheme="minorHAnsi" w:hAnsiTheme="minorHAnsi" w:cstheme="minorHAnsi"/>
              </w:rPr>
              <w:t>6)</w:t>
            </w:r>
          </w:p>
        </w:tc>
        <w:tc>
          <w:tcPr>
            <w:tcW w:w="4683" w:type="dxa"/>
            <w:tcBorders>
              <w:left w:val="single" w:sz="4" w:space="0" w:color="auto"/>
            </w:tcBorders>
            <w:shd w:val="clear" w:color="auto" w:fill="auto"/>
          </w:tcPr>
          <w:p w:rsidR="009778DE" w:rsidRPr="00346B52" w:rsidRDefault="009778DE" w:rsidP="009778DE">
            <w:pPr>
              <w:jc w:val="both"/>
              <w:rPr>
                <w:rFonts w:asciiTheme="minorHAnsi" w:hAnsiTheme="minorHAnsi" w:cstheme="minorHAnsi"/>
              </w:rPr>
            </w:pPr>
            <w:r w:rsidRPr="00346B52">
              <w:rPr>
                <w:rFonts w:asciiTheme="minorHAnsi" w:hAnsiTheme="minorHAnsi" w:cstheme="minorHAnsi"/>
              </w:rPr>
              <w:t>Κάλυψη επίσημων φυτοπροστατευτικών απαιτήσεων για εξαγωγές σε τρίτες χώρες.</w:t>
            </w:r>
          </w:p>
        </w:tc>
        <w:tc>
          <w:tcPr>
            <w:tcW w:w="4875" w:type="dxa"/>
            <w:tcBorders>
              <w:left w:val="single" w:sz="4" w:space="0" w:color="auto"/>
            </w:tcBorders>
            <w:shd w:val="clear" w:color="auto" w:fill="auto"/>
          </w:tcPr>
          <w:p w:rsidR="009778DE" w:rsidRPr="00346B52" w:rsidRDefault="00346B52" w:rsidP="00346B52">
            <w:pPr>
              <w:jc w:val="both"/>
              <w:rPr>
                <w:rFonts w:asciiTheme="minorHAnsi" w:hAnsiTheme="minorHAnsi" w:cstheme="minorHAnsi"/>
              </w:rPr>
            </w:pPr>
            <w:r w:rsidRPr="00346B52">
              <w:rPr>
                <w:rFonts w:asciiTheme="minorHAnsi" w:hAnsiTheme="minorHAnsi" w:cstheme="minorHAnsi"/>
              </w:rPr>
              <w:t xml:space="preserve">Όπως αναφέρθηκε και στην πρόσφατη ημερίδα στο ΓΠΑ σχετικά με το έντομο, τα φυτικά προϊόντα που θα εξάγονται από τις τοποθεσίες που το έντομο έχει αναφερθεί, θα είναι απαραίτητο να συνοδεύονται με το σχετικό «διαβατήριο </w:t>
            </w:r>
            <w:proofErr w:type="spellStart"/>
            <w:r w:rsidRPr="00346B52">
              <w:rPr>
                <w:rFonts w:asciiTheme="minorHAnsi" w:hAnsiTheme="minorHAnsi" w:cstheme="minorHAnsi"/>
              </w:rPr>
              <w:t>φυτοϋγείας</w:t>
            </w:r>
            <w:proofErr w:type="spellEnd"/>
            <w:r w:rsidRPr="00346B52">
              <w:rPr>
                <w:rFonts w:asciiTheme="minorHAnsi" w:hAnsiTheme="minorHAnsi" w:cstheme="minorHAnsi"/>
              </w:rPr>
              <w:t>».</w:t>
            </w:r>
          </w:p>
        </w:tc>
      </w:tr>
      <w:tr w:rsidR="009778DE" w:rsidRPr="00346B52" w:rsidTr="00B90D93">
        <w:tc>
          <w:tcPr>
            <w:tcW w:w="420" w:type="dxa"/>
            <w:tcBorders>
              <w:left w:val="nil"/>
              <w:right w:val="single" w:sz="4" w:space="0" w:color="auto"/>
            </w:tcBorders>
            <w:shd w:val="clear" w:color="auto" w:fill="auto"/>
          </w:tcPr>
          <w:p w:rsidR="009778DE" w:rsidRPr="00346B52" w:rsidRDefault="009778DE" w:rsidP="009778DE">
            <w:pPr>
              <w:rPr>
                <w:rFonts w:asciiTheme="minorHAnsi" w:hAnsiTheme="minorHAnsi" w:cstheme="minorHAnsi"/>
              </w:rPr>
            </w:pPr>
            <w:r w:rsidRPr="00346B52">
              <w:rPr>
                <w:rFonts w:asciiTheme="minorHAnsi" w:hAnsiTheme="minorHAnsi" w:cstheme="minorHAnsi"/>
              </w:rPr>
              <w:t>7)</w:t>
            </w:r>
          </w:p>
        </w:tc>
        <w:tc>
          <w:tcPr>
            <w:tcW w:w="4683" w:type="dxa"/>
            <w:tcBorders>
              <w:left w:val="single" w:sz="4" w:space="0" w:color="auto"/>
            </w:tcBorders>
            <w:shd w:val="clear" w:color="auto" w:fill="auto"/>
          </w:tcPr>
          <w:p w:rsidR="009778DE" w:rsidRPr="00346B52" w:rsidRDefault="009778DE" w:rsidP="009778DE">
            <w:pPr>
              <w:jc w:val="both"/>
              <w:rPr>
                <w:rFonts w:asciiTheme="minorHAnsi" w:hAnsiTheme="minorHAnsi" w:cstheme="minorHAnsi"/>
              </w:rPr>
            </w:pPr>
            <w:r w:rsidRPr="00346B52">
              <w:rPr>
                <w:rFonts w:asciiTheme="minorHAnsi" w:hAnsiTheme="minorHAnsi" w:cstheme="minorHAnsi"/>
              </w:rPr>
              <w:t>Η ανάγκη προστασίας φυτών, φυτικών προϊόντων και άλλων αντικειμένων έναντι επιβλαβών οργανισμών καραντίνας, κατόπιν σχετικής εισήγησης του αρμόδιου Τμήματος της Δ/νσης Προστασίας Φυτικής Παραγωγής του ΥΠΑΑΤ.</w:t>
            </w:r>
          </w:p>
        </w:tc>
        <w:tc>
          <w:tcPr>
            <w:tcW w:w="4875" w:type="dxa"/>
            <w:tcBorders>
              <w:left w:val="single" w:sz="4" w:space="0" w:color="auto"/>
            </w:tcBorders>
            <w:shd w:val="clear" w:color="auto" w:fill="auto"/>
          </w:tcPr>
          <w:p w:rsidR="00346B52" w:rsidRPr="00346B52" w:rsidRDefault="00346B52" w:rsidP="00346B52">
            <w:pPr>
              <w:autoSpaceDE w:val="0"/>
              <w:autoSpaceDN w:val="0"/>
              <w:adjustRightInd w:val="0"/>
              <w:spacing w:before="120" w:line="300" w:lineRule="exact"/>
              <w:contextualSpacing/>
              <w:jc w:val="both"/>
              <w:rPr>
                <w:rFonts w:asciiTheme="minorHAnsi" w:hAnsiTheme="minorHAnsi" w:cstheme="minorHAnsi"/>
              </w:rPr>
            </w:pPr>
            <w:r w:rsidRPr="00346B52">
              <w:rPr>
                <w:rFonts w:asciiTheme="minorHAnsi" w:hAnsiTheme="minorHAnsi" w:cstheme="minorHAnsi"/>
              </w:rPr>
              <w:t xml:space="preserve">Το έντομο </w:t>
            </w:r>
            <w:proofErr w:type="spellStart"/>
            <w:r w:rsidRPr="00346B52">
              <w:rPr>
                <w:rFonts w:asciiTheme="minorHAnsi" w:hAnsiTheme="minorHAnsi" w:cstheme="minorHAnsi"/>
                <w:i/>
                <w:iCs/>
              </w:rPr>
              <w:t>Spodoptera</w:t>
            </w:r>
            <w:proofErr w:type="spellEnd"/>
            <w:r w:rsidRPr="00346B52">
              <w:rPr>
                <w:rFonts w:asciiTheme="minorHAnsi" w:hAnsiTheme="minorHAnsi" w:cstheme="minorHAnsi"/>
                <w:i/>
                <w:iCs/>
              </w:rPr>
              <w:t xml:space="preserve"> </w:t>
            </w:r>
            <w:proofErr w:type="spellStart"/>
            <w:r w:rsidRPr="00346B52">
              <w:rPr>
                <w:rFonts w:asciiTheme="minorHAnsi" w:hAnsiTheme="minorHAnsi" w:cstheme="minorHAnsi"/>
                <w:i/>
                <w:iCs/>
              </w:rPr>
              <w:t>frugiperda</w:t>
            </w:r>
            <w:proofErr w:type="spellEnd"/>
            <w:r w:rsidRPr="00346B52">
              <w:rPr>
                <w:rFonts w:asciiTheme="minorHAnsi" w:hAnsiTheme="minorHAnsi" w:cstheme="minorHAnsi"/>
              </w:rPr>
              <w:t xml:space="preserve"> (</w:t>
            </w:r>
            <w:proofErr w:type="spellStart"/>
            <w:r w:rsidRPr="00346B52">
              <w:rPr>
                <w:rFonts w:asciiTheme="minorHAnsi" w:hAnsiTheme="minorHAnsi" w:cstheme="minorHAnsi"/>
              </w:rPr>
              <w:t>Lepidoptera</w:t>
            </w:r>
            <w:proofErr w:type="spellEnd"/>
            <w:r w:rsidRPr="00346B52">
              <w:rPr>
                <w:rFonts w:asciiTheme="minorHAnsi" w:hAnsiTheme="minorHAnsi" w:cstheme="minorHAnsi"/>
              </w:rPr>
              <w:t xml:space="preserve">: </w:t>
            </w:r>
            <w:proofErr w:type="spellStart"/>
            <w:r w:rsidRPr="00346B52">
              <w:rPr>
                <w:rFonts w:asciiTheme="minorHAnsi" w:hAnsiTheme="minorHAnsi" w:cstheme="minorHAnsi"/>
              </w:rPr>
              <w:t>Noctuidae</w:t>
            </w:r>
            <w:proofErr w:type="spellEnd"/>
            <w:r w:rsidRPr="00346B52">
              <w:rPr>
                <w:rFonts w:asciiTheme="minorHAnsi" w:hAnsiTheme="minorHAnsi" w:cstheme="minorHAnsi"/>
              </w:rPr>
              <w:t xml:space="preserve">), σύμφωνα με τον Καν. 2016/2031 (13, 16, Αρ. 3γ, Αρ.6.1β, Αρ. 25, Αρ. 26, Αρ. 27) της Ε.Ε. και του Εκτελεστικού Καν. 2019/2072 (σημείο 3) έχει χαρακτηριστεί σε ευρωπαϊκό επίπεδο «επιβλαβής εχθρός καραντίνας». Το ΥΠΑΑΤ </w:t>
            </w:r>
            <w:r w:rsidRPr="00346B52">
              <w:rPr>
                <w:rFonts w:asciiTheme="minorHAnsi" w:hAnsiTheme="minorHAnsi" w:cstheme="minorHAnsi"/>
                <w:iCs/>
              </w:rPr>
              <w:t>(</w:t>
            </w:r>
            <w:hyperlink r:id="rId7" w:history="1">
              <w:r w:rsidRPr="00346B52">
                <w:rPr>
                  <w:rStyle w:val="-"/>
                  <w:rFonts w:asciiTheme="minorHAnsi" w:hAnsiTheme="minorHAnsi" w:cstheme="minorHAnsi"/>
                  <w:iCs/>
                </w:rPr>
                <w:t>https://www.minagric.gr/images/stories/docs/agrotis/Georgika_Farmaka/Fytoeigionomikos_Elegxos/plhrofories_Spodoptera_frugiperda220923.pdf</w:t>
              </w:r>
            </w:hyperlink>
            <w:r w:rsidRPr="00346B52">
              <w:rPr>
                <w:rFonts w:asciiTheme="minorHAnsi" w:hAnsiTheme="minorHAnsi" w:cstheme="minorHAnsi"/>
                <w:iCs/>
              </w:rPr>
              <w:t>)</w:t>
            </w:r>
            <w:r w:rsidRPr="00346B52">
              <w:rPr>
                <w:rFonts w:asciiTheme="minorHAnsi" w:hAnsiTheme="minorHAnsi" w:cstheme="minorHAnsi"/>
              </w:rPr>
              <w:t>, ενημέρωσε για την πρώτη καταγραφή του εντόμου στη χώρα μας στ</w:t>
            </w:r>
            <w:r>
              <w:rPr>
                <w:rFonts w:asciiTheme="minorHAnsi" w:hAnsiTheme="minorHAnsi" w:cstheme="minorHAnsi"/>
              </w:rPr>
              <w:t>ις</w:t>
            </w:r>
            <w:r w:rsidRPr="00346B52">
              <w:rPr>
                <w:rFonts w:asciiTheme="minorHAnsi" w:hAnsiTheme="minorHAnsi" w:cstheme="minorHAnsi"/>
              </w:rPr>
              <w:t xml:space="preserve"> 22/09/2023 και έχει ζητήσει την επέκταση της άδειας διάθεσης σκευασμάτων για την αντιμετώπιση του. </w:t>
            </w:r>
          </w:p>
          <w:p w:rsidR="00346B52" w:rsidRPr="00346B52" w:rsidRDefault="00346B52" w:rsidP="00346B52">
            <w:pPr>
              <w:autoSpaceDE w:val="0"/>
              <w:autoSpaceDN w:val="0"/>
              <w:adjustRightInd w:val="0"/>
              <w:spacing w:before="120" w:line="300" w:lineRule="exact"/>
              <w:jc w:val="both"/>
              <w:rPr>
                <w:rFonts w:asciiTheme="minorHAnsi" w:hAnsiTheme="minorHAnsi" w:cstheme="minorHAnsi"/>
              </w:rPr>
            </w:pPr>
            <w:r w:rsidRPr="00346B52">
              <w:rPr>
                <w:rFonts w:asciiTheme="minorHAnsi" w:hAnsiTheme="minorHAnsi" w:cstheme="minorHAnsi"/>
              </w:rPr>
              <w:t xml:space="preserve">Από μελέτες και δεδομένα σε χώρες όπως Βραζιλία, Ινδία, Τανζανία, Ζάμπια, Καμερούν και Σουδάν, αποδείχθηκε ότι η Μέθοδος της Παρεμπόδισης των Συζεύξεων, για την οποία χρησιμοποιήθηκε η </w:t>
            </w:r>
            <w:proofErr w:type="spellStart"/>
            <w:r w:rsidRPr="00346B52">
              <w:rPr>
                <w:rFonts w:asciiTheme="minorHAnsi" w:hAnsiTheme="minorHAnsi" w:cstheme="minorHAnsi"/>
              </w:rPr>
              <w:t>δ.ο</w:t>
            </w:r>
            <w:proofErr w:type="spellEnd"/>
            <w:r w:rsidRPr="00346B52">
              <w:rPr>
                <w:rFonts w:asciiTheme="minorHAnsi" w:hAnsiTheme="minorHAnsi" w:cstheme="minorHAnsi"/>
              </w:rPr>
              <w:t xml:space="preserve">. παραγόμενη με βιολογικό τρόπο μέσω ζύμωσης, μπορεί να αντιμετωπίσει τις προσβολές από το </w:t>
            </w:r>
            <w:r w:rsidRPr="00346B52">
              <w:rPr>
                <w:rFonts w:asciiTheme="minorHAnsi" w:hAnsiTheme="minorHAnsi" w:cstheme="minorHAnsi"/>
                <w:i/>
              </w:rPr>
              <w:t xml:space="preserve">S. </w:t>
            </w:r>
            <w:proofErr w:type="spellStart"/>
            <w:r w:rsidRPr="00346B52">
              <w:rPr>
                <w:rFonts w:asciiTheme="minorHAnsi" w:hAnsiTheme="minorHAnsi" w:cstheme="minorHAnsi"/>
                <w:i/>
              </w:rPr>
              <w:t>frugiperda</w:t>
            </w:r>
            <w:proofErr w:type="spellEnd"/>
            <w:r w:rsidRPr="00346B52">
              <w:rPr>
                <w:rFonts w:asciiTheme="minorHAnsi" w:hAnsiTheme="minorHAnsi" w:cstheme="minorHAnsi"/>
                <w:i/>
              </w:rPr>
              <w:t xml:space="preserve"> </w:t>
            </w:r>
            <w:r w:rsidRPr="00346B52">
              <w:rPr>
                <w:rFonts w:asciiTheme="minorHAnsi" w:hAnsiTheme="minorHAnsi" w:cstheme="minorHAnsi"/>
              </w:rPr>
              <w:t>σε καλλιέργειες αραβοσίτου εξίσου αποτελεσματικά με τις συμβατικές μεθόδους καταπολέμησης (</w:t>
            </w:r>
            <w:proofErr w:type="spellStart"/>
            <w:r w:rsidRPr="00346B52">
              <w:rPr>
                <w:rFonts w:asciiTheme="minorHAnsi" w:hAnsiTheme="minorHAnsi" w:cstheme="minorHAnsi"/>
              </w:rPr>
              <w:t>Horizon</w:t>
            </w:r>
            <w:proofErr w:type="spellEnd"/>
            <w:r w:rsidRPr="00346B52">
              <w:rPr>
                <w:rFonts w:asciiTheme="minorHAnsi" w:hAnsiTheme="minorHAnsi" w:cstheme="minorHAnsi"/>
              </w:rPr>
              <w:t xml:space="preserve"> 2020, OLEFINE GA:760798 </w:t>
            </w:r>
            <w:proofErr w:type="spellStart"/>
            <w:r w:rsidRPr="00346B52">
              <w:rPr>
                <w:rFonts w:asciiTheme="minorHAnsi" w:hAnsiTheme="minorHAnsi" w:cstheme="minorHAnsi"/>
              </w:rPr>
              <w:t>and</w:t>
            </w:r>
            <w:proofErr w:type="spellEnd"/>
            <w:r w:rsidRPr="00346B52">
              <w:rPr>
                <w:rFonts w:asciiTheme="minorHAnsi" w:hAnsiTheme="minorHAnsi" w:cstheme="minorHAnsi"/>
              </w:rPr>
              <w:t xml:space="preserve"> </w:t>
            </w:r>
            <w:proofErr w:type="spellStart"/>
            <w:r w:rsidRPr="00346B52">
              <w:rPr>
                <w:rFonts w:asciiTheme="minorHAnsi" w:hAnsiTheme="minorHAnsi" w:cstheme="minorHAnsi"/>
              </w:rPr>
              <w:t>Horizon</w:t>
            </w:r>
            <w:proofErr w:type="spellEnd"/>
            <w:r w:rsidRPr="00346B52">
              <w:rPr>
                <w:rFonts w:asciiTheme="minorHAnsi" w:hAnsiTheme="minorHAnsi" w:cstheme="minorHAnsi"/>
              </w:rPr>
              <w:t xml:space="preserve"> 2020, PHERA </w:t>
            </w:r>
            <w:r w:rsidRPr="00346B52">
              <w:rPr>
                <w:rFonts w:asciiTheme="minorHAnsi" w:hAnsiTheme="minorHAnsi" w:cstheme="minorHAnsi"/>
              </w:rPr>
              <w:lastRenderedPageBreak/>
              <w:t>GA:886662). Στα πλαίσια των τελικών επιστημονικών αναφορών των εν λόγω προγραμμάτων σχετικά διαβαθμισμένα αποτελέσματα-αναφορές έχουν κατατεθεί και έχουν εγκριθεί από τις αρμόδιες υπηρεσίες της Ευρωπαϊκής Κοινότητας.</w:t>
            </w:r>
          </w:p>
          <w:p w:rsidR="009778DE" w:rsidRPr="00346B52" w:rsidRDefault="00346B52" w:rsidP="00346B52">
            <w:pPr>
              <w:jc w:val="both"/>
              <w:rPr>
                <w:rFonts w:asciiTheme="minorHAnsi" w:hAnsiTheme="minorHAnsi" w:cstheme="minorHAnsi"/>
              </w:rPr>
            </w:pPr>
            <w:r w:rsidRPr="00346B52">
              <w:rPr>
                <w:rFonts w:asciiTheme="minorHAnsi" w:hAnsiTheme="minorHAnsi" w:cstheme="minorHAnsi"/>
              </w:rPr>
              <w:t>Εκ των ανωτέρω γίνεται κατανοητή η σημασία της Μεθόδου Παρεμπόδισης των Συζεύξεων στη αντιμετώπιση του εντόμου.</w:t>
            </w:r>
          </w:p>
        </w:tc>
      </w:tr>
      <w:tr w:rsidR="009778DE" w:rsidRPr="00346B52" w:rsidTr="00B90D93">
        <w:tc>
          <w:tcPr>
            <w:tcW w:w="420" w:type="dxa"/>
            <w:tcBorders>
              <w:left w:val="nil"/>
              <w:right w:val="single" w:sz="4" w:space="0" w:color="auto"/>
            </w:tcBorders>
            <w:shd w:val="clear" w:color="auto" w:fill="auto"/>
          </w:tcPr>
          <w:p w:rsidR="009778DE" w:rsidRPr="00346B52" w:rsidRDefault="009778DE" w:rsidP="009778DE">
            <w:pPr>
              <w:rPr>
                <w:rFonts w:asciiTheme="minorHAnsi" w:hAnsiTheme="minorHAnsi" w:cstheme="minorHAnsi"/>
              </w:rPr>
            </w:pPr>
            <w:r w:rsidRPr="00346B52">
              <w:rPr>
                <w:rFonts w:asciiTheme="minorHAnsi" w:hAnsiTheme="minorHAnsi" w:cstheme="minorHAnsi"/>
              </w:rPr>
              <w:lastRenderedPageBreak/>
              <w:t>8)</w:t>
            </w:r>
          </w:p>
        </w:tc>
        <w:tc>
          <w:tcPr>
            <w:tcW w:w="4683" w:type="dxa"/>
            <w:tcBorders>
              <w:left w:val="single" w:sz="4" w:space="0" w:color="auto"/>
            </w:tcBorders>
            <w:shd w:val="clear" w:color="auto" w:fill="auto"/>
          </w:tcPr>
          <w:p w:rsidR="009778DE" w:rsidRPr="00346B52" w:rsidRDefault="009778DE" w:rsidP="009778DE">
            <w:pPr>
              <w:jc w:val="both"/>
              <w:rPr>
                <w:rFonts w:asciiTheme="minorHAnsi" w:hAnsiTheme="minorHAnsi" w:cstheme="minorHAnsi"/>
              </w:rPr>
            </w:pPr>
            <w:r w:rsidRPr="00346B52">
              <w:rPr>
                <w:rFonts w:asciiTheme="minorHAnsi" w:hAnsiTheme="minorHAnsi" w:cstheme="minorHAnsi"/>
              </w:rPr>
              <w:t>Η ανάγκη αντιμετώπισης επιβλαβών οργανισμών φυτών ή φυτικών αντικειμένων με διαπιστωμένη αύξηση αυτών πέραν από τη δυνατότητα διαχείρισης τους, βάσει καταγραφών και επίσημων επισκοπήσεων, μετά από εισήγηση του αρμόδιου Τμήματος της Δ/νσης Προστασίας Φυτικής Παραγωγής.</w:t>
            </w:r>
          </w:p>
        </w:tc>
        <w:tc>
          <w:tcPr>
            <w:tcW w:w="4875" w:type="dxa"/>
            <w:tcBorders>
              <w:left w:val="single" w:sz="4" w:space="0" w:color="auto"/>
            </w:tcBorders>
            <w:shd w:val="clear" w:color="auto" w:fill="auto"/>
          </w:tcPr>
          <w:p w:rsidR="00346B52" w:rsidRPr="00346B52" w:rsidRDefault="00346B52" w:rsidP="00346B52">
            <w:pPr>
              <w:autoSpaceDE w:val="0"/>
              <w:autoSpaceDN w:val="0"/>
              <w:adjustRightInd w:val="0"/>
              <w:spacing w:before="120" w:line="300" w:lineRule="exact"/>
              <w:contextualSpacing/>
              <w:jc w:val="both"/>
              <w:rPr>
                <w:rFonts w:asciiTheme="minorHAnsi" w:hAnsiTheme="minorHAnsi" w:cs="Calibri-Italic"/>
                <w:iCs/>
              </w:rPr>
            </w:pPr>
            <w:r w:rsidRPr="00346B52">
              <w:rPr>
                <w:rFonts w:asciiTheme="minorHAnsi" w:hAnsiTheme="minorHAnsi" w:cs="Calibri-Italic"/>
                <w:iCs/>
              </w:rPr>
              <w:t>Από τις 22/09/2023 που έγινε η πρώτη καταγραφή στην Λακωνία έως σήμερα, το έντομο εξαπλώνεται ταχύτατα και εντοπίζεται πλέον στις περιοχές της Κρήτης, της Αργολίδας και της Ανατολικής Αττικής.</w:t>
            </w:r>
          </w:p>
          <w:p w:rsidR="00346B52" w:rsidRPr="00346B52" w:rsidRDefault="00346B52" w:rsidP="00346B52">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Η εμπειρία από τα άλλα κράτη που έχει εμφανιστεί, η βιολογία του και το γεγονός ότι είναι πολυφάγο το κατατάσσει στα επικίνδυνα και </w:t>
            </w:r>
            <w:proofErr w:type="spellStart"/>
            <w:r w:rsidRPr="00346B52">
              <w:rPr>
                <w:rFonts w:asciiTheme="minorHAnsi" w:hAnsiTheme="minorHAnsi" w:cs="Calibri-Italic"/>
                <w:iCs/>
              </w:rPr>
              <w:t>δυσεξόντωντα</w:t>
            </w:r>
            <w:proofErr w:type="spellEnd"/>
            <w:r w:rsidRPr="00346B52">
              <w:rPr>
                <w:rFonts w:asciiTheme="minorHAnsi" w:hAnsiTheme="minorHAnsi" w:cs="Calibri-Italic"/>
                <w:iCs/>
              </w:rPr>
              <w:t xml:space="preserve"> έντομα.</w:t>
            </w:r>
          </w:p>
          <w:p w:rsidR="00346B52" w:rsidRPr="00346B52" w:rsidRDefault="00346B52" w:rsidP="00346B52">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Το </w:t>
            </w:r>
            <w:proofErr w:type="spellStart"/>
            <w:r w:rsidRPr="00346B52">
              <w:rPr>
                <w:rFonts w:asciiTheme="minorHAnsi" w:hAnsiTheme="minorHAnsi" w:cs="Calibri-Italic"/>
                <w:i/>
                <w:iCs/>
              </w:rPr>
              <w:t>Spodoptera</w:t>
            </w:r>
            <w:proofErr w:type="spellEnd"/>
            <w:r w:rsidRPr="00346B52">
              <w:rPr>
                <w:rFonts w:asciiTheme="minorHAnsi" w:hAnsiTheme="minorHAnsi" w:cs="Calibri-Italic"/>
                <w:i/>
                <w:iCs/>
              </w:rPr>
              <w:t xml:space="preserve"> </w:t>
            </w:r>
            <w:proofErr w:type="spellStart"/>
            <w:r w:rsidRPr="00346B52">
              <w:rPr>
                <w:rFonts w:asciiTheme="minorHAnsi" w:hAnsiTheme="minorHAnsi" w:cs="Calibri-Italic"/>
                <w:i/>
                <w:iCs/>
              </w:rPr>
              <w:t>frugiperda</w:t>
            </w:r>
            <w:proofErr w:type="spellEnd"/>
            <w:r w:rsidRPr="00346B52">
              <w:rPr>
                <w:rFonts w:asciiTheme="minorHAnsi" w:hAnsiTheme="minorHAnsi" w:cs="Calibri-Italic"/>
                <w:iCs/>
              </w:rPr>
              <w:t xml:space="preserve">, ήταν ένα ιθαγενές παράσιτο της Αμερικής και εισέβαλε στη Δυτική Αφρική πριν από περίπου 7 χρόνια. Εξαπλώθηκε γρήγορα στην υπόλοιπη Αφρική και σε αρκετές χώρες της Ασίας και της Ωκεανίας. Στην </w:t>
            </w:r>
            <w:proofErr w:type="spellStart"/>
            <w:r w:rsidRPr="00346B52">
              <w:rPr>
                <w:rFonts w:asciiTheme="minorHAnsi" w:hAnsiTheme="minorHAnsi" w:cs="Calibri-Italic"/>
                <w:iCs/>
              </w:rPr>
              <w:t>υποσαχάρια</w:t>
            </w:r>
            <w:proofErr w:type="spellEnd"/>
            <w:r w:rsidRPr="00346B52">
              <w:rPr>
                <w:rFonts w:asciiTheme="minorHAnsi" w:hAnsiTheme="minorHAnsi" w:cs="Calibri-Italic"/>
                <w:iCs/>
              </w:rPr>
              <w:t xml:space="preserve"> Αφρική προκαλεί σοβαρές και εκτεταμένες ζημιές στον αραβόσιτο, ο οποίος είναι σημαντική καλλιέργεια επισιτιστικής ασφάλειας για την Αφρικανική ήπειρο.</w:t>
            </w:r>
          </w:p>
          <w:p w:rsidR="00346B52" w:rsidRPr="00346B52" w:rsidRDefault="00346B52" w:rsidP="00346B52">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Δεδομένου ότι ως ξενιστές εμφανίζονται σημαντικότατες καλλιέργειες για τη χώρα μας όπως το βαμβάκι, ο αραβόσιτος και τα κηπευτικά, η αντιμετώπιση του είναι κομβική για την προστασία των αντίστοιχων </w:t>
            </w:r>
            <w:proofErr w:type="spellStart"/>
            <w:r w:rsidRPr="00346B52">
              <w:rPr>
                <w:rFonts w:asciiTheme="minorHAnsi" w:hAnsiTheme="minorHAnsi" w:cs="Calibri-Italic"/>
                <w:iCs/>
              </w:rPr>
              <w:t>καλλιέργειων</w:t>
            </w:r>
            <w:proofErr w:type="spellEnd"/>
            <w:r w:rsidRPr="00346B52">
              <w:rPr>
                <w:rFonts w:asciiTheme="minorHAnsi" w:hAnsiTheme="minorHAnsi" w:cs="Calibri-Italic"/>
                <w:iCs/>
              </w:rPr>
              <w:t>.</w:t>
            </w:r>
          </w:p>
          <w:p w:rsidR="00346B52" w:rsidRPr="00346B52" w:rsidRDefault="00346B52" w:rsidP="00346B52">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Η επέκταση του εντόμου συνεχίζεται και έχει πλέον εγκατασταθεί σε αρκετά σημεία της νοτίου αλλά και στη νησιωτική χώρα και ήδη αναφέρθηκαν οι πρώτες προσβολές στην Κρήτη (Λασίθι).</w:t>
            </w:r>
          </w:p>
          <w:p w:rsidR="00346B52" w:rsidRPr="00346B52" w:rsidRDefault="00346B52" w:rsidP="00346B52">
            <w:pPr>
              <w:autoSpaceDE w:val="0"/>
              <w:autoSpaceDN w:val="0"/>
              <w:adjustRightInd w:val="0"/>
              <w:spacing w:before="120" w:line="300" w:lineRule="exact"/>
              <w:jc w:val="both"/>
              <w:rPr>
                <w:rFonts w:asciiTheme="minorHAnsi" w:hAnsiTheme="minorHAnsi"/>
              </w:rPr>
            </w:pPr>
            <w:r w:rsidRPr="00346B52">
              <w:rPr>
                <w:rFonts w:asciiTheme="minorHAnsi" w:hAnsiTheme="minorHAnsi" w:cs="Calibri-Italic"/>
                <w:b/>
                <w:iCs/>
              </w:rPr>
              <w:t xml:space="preserve">Τα παραπάνω κάνουν επιτακτική την αντιμετώπιση του εντόμου </w:t>
            </w:r>
            <w:proofErr w:type="spellStart"/>
            <w:r w:rsidRPr="00346B52">
              <w:rPr>
                <w:rFonts w:asciiTheme="minorHAnsi" w:hAnsiTheme="minorHAnsi" w:cs="Calibri-Italic"/>
                <w:b/>
                <w:i/>
                <w:iCs/>
              </w:rPr>
              <w:t>Spodoptera</w:t>
            </w:r>
            <w:proofErr w:type="spellEnd"/>
            <w:r w:rsidRPr="00346B52">
              <w:rPr>
                <w:rFonts w:asciiTheme="minorHAnsi" w:hAnsiTheme="minorHAnsi" w:cs="Calibri-Italic"/>
                <w:b/>
                <w:i/>
                <w:iCs/>
              </w:rPr>
              <w:t xml:space="preserve"> </w:t>
            </w:r>
            <w:proofErr w:type="spellStart"/>
            <w:r w:rsidRPr="00346B52">
              <w:rPr>
                <w:rFonts w:asciiTheme="minorHAnsi" w:hAnsiTheme="minorHAnsi" w:cs="Calibri-Italic"/>
                <w:b/>
                <w:i/>
                <w:iCs/>
              </w:rPr>
              <w:t>frugiperda</w:t>
            </w:r>
            <w:proofErr w:type="spellEnd"/>
            <w:r w:rsidRPr="00346B52">
              <w:rPr>
                <w:rFonts w:asciiTheme="minorHAnsi" w:hAnsiTheme="minorHAnsi" w:cs="Calibri-Italic"/>
                <w:b/>
                <w:iCs/>
              </w:rPr>
              <w:t xml:space="preserve"> και με άλλους τρόπους εκτός από τους συμβατικούς ψεκασμούς.</w:t>
            </w:r>
          </w:p>
          <w:p w:rsidR="009778DE" w:rsidRPr="00346B52" w:rsidRDefault="009778DE" w:rsidP="009778DE">
            <w:pPr>
              <w:rPr>
                <w:rFonts w:asciiTheme="minorHAnsi" w:hAnsiTheme="minorHAnsi" w:cstheme="minorHAnsi"/>
              </w:rPr>
            </w:pPr>
          </w:p>
        </w:tc>
      </w:tr>
    </w:tbl>
    <w:p w:rsidR="000A6678" w:rsidRPr="00346B52" w:rsidRDefault="000A6678" w:rsidP="000A6678">
      <w:pPr>
        <w:rPr>
          <w:rFonts w:asciiTheme="minorHAnsi" w:hAnsiTheme="minorHAnsi" w:cstheme="minorHAnsi"/>
          <w:i/>
        </w:rPr>
      </w:pPr>
      <w:r w:rsidRPr="00346B52">
        <w:rPr>
          <w:rFonts w:asciiTheme="minorHAnsi" w:hAnsiTheme="minorHAnsi" w:cstheme="minorHAnsi"/>
        </w:rPr>
        <w:t>(*</w:t>
      </w:r>
      <w:r w:rsidRPr="00346B52">
        <w:rPr>
          <w:rFonts w:asciiTheme="minorHAnsi" w:hAnsiTheme="minorHAnsi" w:cstheme="minorHAnsi"/>
          <w:i/>
        </w:rPr>
        <w:t>επιλέγονται οι περιπτώσεις που ανταποκρίνονται στην αίτηση, οι υπόλοιπες να διαγραφούν</w:t>
      </w:r>
    </w:p>
    <w:p w:rsidR="000A6678" w:rsidRPr="00346B52" w:rsidRDefault="000A6678" w:rsidP="000A6678">
      <w:pPr>
        <w:rPr>
          <w:rFonts w:asciiTheme="minorHAnsi" w:hAnsiTheme="minorHAnsi" w:cstheme="minorHAnsi"/>
          <w:i/>
        </w:rPr>
      </w:pPr>
      <w:r w:rsidRPr="00346B52">
        <w:rPr>
          <w:rFonts w:asciiTheme="minorHAnsi" w:hAnsiTheme="minorHAnsi" w:cstheme="minorHAnsi"/>
          <w:i/>
        </w:rPr>
        <w:t>** με παράθεση οικονομικών στοιχείων και στοιχείων αντικτύπου</w:t>
      </w:r>
    </w:p>
    <w:p w:rsidR="000A6678" w:rsidRPr="00346B52" w:rsidRDefault="000A6678" w:rsidP="000A6678">
      <w:pPr>
        <w:rPr>
          <w:rFonts w:asciiTheme="minorHAnsi" w:hAnsiTheme="minorHAnsi" w:cstheme="minorHAnsi"/>
          <w:i/>
        </w:rPr>
      </w:pPr>
      <w:r w:rsidRPr="00346B52">
        <w:rPr>
          <w:rFonts w:asciiTheme="minorHAnsi" w:hAnsiTheme="minorHAnsi" w:cstheme="minorHAnsi"/>
          <w:i/>
        </w:rPr>
        <w:t>*** σύμφωνα με διεθνείς και εθνικές βάσεις δεδομένων και καταγραφών, όπως HRAC,IRAC, FRAC, Γάλανθος)</w:t>
      </w:r>
    </w:p>
    <w:p w:rsidR="000A6678" w:rsidRPr="00346B52" w:rsidRDefault="000A667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841"/>
        <w:gridCol w:w="701"/>
        <w:gridCol w:w="7040"/>
      </w:tblGrid>
      <w:tr w:rsidR="00100296" w:rsidRPr="00346B52" w:rsidTr="009454A2">
        <w:tc>
          <w:tcPr>
            <w:tcW w:w="391" w:type="dxa"/>
            <w:tcBorders>
              <w:top w:val="nil"/>
              <w:left w:val="nil"/>
              <w:bottom w:val="nil"/>
              <w:right w:val="nil"/>
            </w:tcBorders>
            <w:shd w:val="clear" w:color="auto" w:fill="auto"/>
          </w:tcPr>
          <w:bookmarkEnd w:id="0"/>
          <w:p w:rsidR="00100296" w:rsidRPr="00346B52" w:rsidRDefault="00100296" w:rsidP="005823F5">
            <w:pPr>
              <w:rPr>
                <w:rFonts w:asciiTheme="minorHAnsi" w:hAnsiTheme="minorHAnsi" w:cstheme="minorHAnsi"/>
                <w:b/>
              </w:rPr>
            </w:pPr>
            <w:r w:rsidRPr="00346B52">
              <w:rPr>
                <w:rFonts w:asciiTheme="minorHAnsi" w:hAnsiTheme="minorHAnsi" w:cstheme="minorHAnsi"/>
                <w:b/>
              </w:rPr>
              <w:t>6.</w:t>
            </w:r>
          </w:p>
        </w:tc>
        <w:tc>
          <w:tcPr>
            <w:tcW w:w="9582" w:type="dxa"/>
            <w:gridSpan w:val="3"/>
            <w:tcBorders>
              <w:top w:val="nil"/>
              <w:left w:val="nil"/>
            </w:tcBorders>
            <w:shd w:val="clear" w:color="auto" w:fill="auto"/>
          </w:tcPr>
          <w:p w:rsidR="00100296" w:rsidRPr="00346B52" w:rsidRDefault="00100296" w:rsidP="0047481A">
            <w:pPr>
              <w:rPr>
                <w:rFonts w:asciiTheme="minorHAnsi" w:hAnsiTheme="minorHAnsi" w:cstheme="minorHAnsi"/>
                <w:b/>
              </w:rPr>
            </w:pPr>
            <w:r w:rsidRPr="00346B52">
              <w:rPr>
                <w:rFonts w:asciiTheme="minorHAnsi" w:hAnsiTheme="minorHAnsi" w:cstheme="minorHAnsi"/>
                <w:b/>
              </w:rPr>
              <w:t>Περιορισμός της αιτούμενης χρήσης*:</w:t>
            </w:r>
          </w:p>
        </w:tc>
      </w:tr>
      <w:tr w:rsidR="00294F00" w:rsidRPr="00346B52" w:rsidTr="009454A2">
        <w:tc>
          <w:tcPr>
            <w:tcW w:w="391" w:type="dxa"/>
            <w:vMerge w:val="restart"/>
            <w:tcBorders>
              <w:top w:val="nil"/>
              <w:left w:val="nil"/>
              <w:right w:val="single" w:sz="4" w:space="0" w:color="auto"/>
            </w:tcBorders>
            <w:shd w:val="clear" w:color="auto" w:fill="auto"/>
          </w:tcPr>
          <w:p w:rsidR="009454A2" w:rsidRPr="00346B52" w:rsidRDefault="009454A2" w:rsidP="009454A2">
            <w:pPr>
              <w:rPr>
                <w:rFonts w:asciiTheme="minorHAnsi" w:hAnsiTheme="minorHAnsi" w:cstheme="minorHAnsi"/>
                <w:b/>
              </w:rPr>
            </w:pPr>
          </w:p>
        </w:tc>
        <w:tc>
          <w:tcPr>
            <w:tcW w:w="1841" w:type="dxa"/>
            <w:vMerge w:val="restart"/>
            <w:tcBorders>
              <w:left w:val="single" w:sz="4" w:space="0" w:color="auto"/>
            </w:tcBorders>
            <w:shd w:val="clear" w:color="auto" w:fill="auto"/>
          </w:tcPr>
          <w:p w:rsidR="009454A2" w:rsidRPr="00346B52" w:rsidRDefault="009454A2" w:rsidP="009454A2">
            <w:pPr>
              <w:numPr>
                <w:ilvl w:val="0"/>
                <w:numId w:val="9"/>
              </w:numPr>
              <w:ind w:left="320" w:hanging="320"/>
              <w:rPr>
                <w:rFonts w:asciiTheme="minorHAnsi" w:hAnsiTheme="minorHAnsi" w:cstheme="minorHAnsi"/>
                <w:b/>
              </w:rPr>
            </w:pPr>
            <w:r w:rsidRPr="00346B52">
              <w:rPr>
                <w:rFonts w:asciiTheme="minorHAnsi" w:hAnsiTheme="minorHAnsi" w:cstheme="minorHAnsi"/>
                <w:b/>
              </w:rPr>
              <w:t>Στις Περιφερειακές Ενότητες:</w:t>
            </w:r>
          </w:p>
        </w:tc>
        <w:tc>
          <w:tcPr>
            <w:tcW w:w="701" w:type="dxa"/>
            <w:tcBorders>
              <w:left w:val="single" w:sz="4" w:space="0" w:color="auto"/>
            </w:tcBorders>
            <w:shd w:val="clear" w:color="auto" w:fill="auto"/>
          </w:tcPr>
          <w:p w:rsidR="009454A2" w:rsidRPr="00346B52" w:rsidRDefault="009454A2" w:rsidP="009454A2">
            <w:pPr>
              <w:rPr>
                <w:rFonts w:asciiTheme="minorHAnsi" w:hAnsiTheme="minorHAnsi" w:cstheme="minorHAnsi"/>
                <w:b/>
              </w:rPr>
            </w:pPr>
            <w:r w:rsidRPr="00346B52">
              <w:rPr>
                <w:rFonts w:asciiTheme="minorHAnsi" w:hAnsiTheme="minorHAnsi" w:cstheme="minorHAnsi"/>
                <w:b/>
              </w:rPr>
              <w:t>α/α</w:t>
            </w:r>
          </w:p>
        </w:tc>
        <w:tc>
          <w:tcPr>
            <w:tcW w:w="7040" w:type="dxa"/>
            <w:tcBorders>
              <w:left w:val="single" w:sz="4" w:space="0" w:color="auto"/>
            </w:tcBorders>
            <w:shd w:val="clear" w:color="auto" w:fill="auto"/>
          </w:tcPr>
          <w:p w:rsidR="009454A2" w:rsidRPr="00346B52" w:rsidRDefault="009454A2" w:rsidP="009454A2">
            <w:pPr>
              <w:rPr>
                <w:rFonts w:asciiTheme="minorHAnsi" w:hAnsiTheme="minorHAnsi" w:cstheme="minorHAnsi"/>
                <w:b/>
              </w:rPr>
            </w:pPr>
          </w:p>
        </w:tc>
      </w:tr>
      <w:tr w:rsidR="00294F00" w:rsidRPr="00346B52" w:rsidTr="00F24ECE">
        <w:tc>
          <w:tcPr>
            <w:tcW w:w="391" w:type="dxa"/>
            <w:vMerge/>
            <w:tcBorders>
              <w:left w:val="nil"/>
              <w:right w:val="single" w:sz="4" w:space="0" w:color="auto"/>
            </w:tcBorders>
            <w:shd w:val="clear" w:color="auto" w:fill="auto"/>
          </w:tcPr>
          <w:p w:rsidR="00F24ECE" w:rsidRPr="00346B52"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346B52" w:rsidRDefault="00F24ECE" w:rsidP="00F24ECE">
            <w:pPr>
              <w:numPr>
                <w:ilvl w:val="0"/>
                <w:numId w:val="9"/>
              </w:numPr>
              <w:ind w:left="320" w:hanging="320"/>
              <w:rPr>
                <w:rFonts w:asciiTheme="minorHAnsi" w:hAnsiTheme="minorHAnsi" w:cstheme="minorHAnsi"/>
              </w:rPr>
            </w:pPr>
          </w:p>
        </w:tc>
        <w:tc>
          <w:tcPr>
            <w:tcW w:w="701" w:type="dxa"/>
            <w:tcBorders>
              <w:left w:val="single" w:sz="4" w:space="0" w:color="auto"/>
            </w:tcBorders>
            <w:shd w:val="clear" w:color="auto" w:fill="auto"/>
            <w:vAlign w:val="center"/>
          </w:tcPr>
          <w:p w:rsidR="00F24ECE" w:rsidRPr="00346B52" w:rsidRDefault="00F24ECE" w:rsidP="00F24ECE">
            <w:pPr>
              <w:jc w:val="center"/>
              <w:rPr>
                <w:rFonts w:asciiTheme="minorHAnsi" w:hAnsiTheme="minorHAnsi" w:cstheme="minorHAnsi"/>
                <w:b/>
              </w:rPr>
            </w:pPr>
            <w:r w:rsidRPr="00346B52">
              <w:rPr>
                <w:rFonts w:asciiTheme="minorHAnsi" w:hAnsiTheme="minorHAnsi" w:cstheme="minorHAnsi"/>
                <w:b/>
              </w:rPr>
              <w:t>1</w:t>
            </w:r>
          </w:p>
        </w:tc>
        <w:tc>
          <w:tcPr>
            <w:tcW w:w="7040" w:type="dxa"/>
            <w:tcBorders>
              <w:left w:val="single" w:sz="4" w:space="0" w:color="auto"/>
            </w:tcBorders>
            <w:shd w:val="clear" w:color="auto" w:fill="auto"/>
          </w:tcPr>
          <w:p w:rsidR="00F24ECE" w:rsidRPr="00346B52" w:rsidRDefault="00F24ECE" w:rsidP="00F24ECE">
            <w:pPr>
              <w:rPr>
                <w:rFonts w:asciiTheme="minorHAnsi" w:hAnsiTheme="minorHAnsi" w:cstheme="minorHAnsi"/>
                <w:b/>
              </w:rPr>
            </w:pPr>
            <w:r w:rsidRPr="00346B52">
              <w:rPr>
                <w:rFonts w:asciiTheme="minorHAnsi" w:hAnsiTheme="minorHAnsi" w:cstheme="minorHAnsi"/>
                <w:b/>
              </w:rPr>
              <w:t xml:space="preserve">ΛΑΡΙΣΑΣ </w:t>
            </w:r>
          </w:p>
        </w:tc>
      </w:tr>
      <w:tr w:rsidR="00294F00" w:rsidRPr="00346B52" w:rsidTr="00F24ECE">
        <w:tc>
          <w:tcPr>
            <w:tcW w:w="391" w:type="dxa"/>
            <w:vMerge/>
            <w:tcBorders>
              <w:left w:val="nil"/>
              <w:right w:val="single" w:sz="4" w:space="0" w:color="auto"/>
            </w:tcBorders>
            <w:shd w:val="clear" w:color="auto" w:fill="auto"/>
          </w:tcPr>
          <w:p w:rsidR="00294F00" w:rsidRPr="00346B52" w:rsidRDefault="00294F00" w:rsidP="00F24ECE">
            <w:pPr>
              <w:rPr>
                <w:rFonts w:asciiTheme="minorHAnsi" w:hAnsiTheme="minorHAnsi" w:cstheme="minorHAnsi"/>
                <w:b/>
              </w:rPr>
            </w:pPr>
          </w:p>
        </w:tc>
        <w:tc>
          <w:tcPr>
            <w:tcW w:w="1841" w:type="dxa"/>
            <w:tcBorders>
              <w:left w:val="single" w:sz="4" w:space="0" w:color="auto"/>
            </w:tcBorders>
            <w:shd w:val="clear" w:color="auto" w:fill="auto"/>
          </w:tcPr>
          <w:p w:rsidR="00294F00" w:rsidRPr="00346B52" w:rsidRDefault="00294F00" w:rsidP="00F24ECE">
            <w:pPr>
              <w:ind w:left="320"/>
              <w:rPr>
                <w:rFonts w:asciiTheme="minorHAnsi" w:hAnsiTheme="minorHAnsi" w:cstheme="minorHAnsi"/>
              </w:rPr>
            </w:pPr>
          </w:p>
        </w:tc>
        <w:tc>
          <w:tcPr>
            <w:tcW w:w="701" w:type="dxa"/>
            <w:tcBorders>
              <w:left w:val="single" w:sz="4" w:space="0" w:color="auto"/>
            </w:tcBorders>
            <w:shd w:val="clear" w:color="auto" w:fill="auto"/>
            <w:vAlign w:val="center"/>
          </w:tcPr>
          <w:p w:rsidR="00294F00" w:rsidRPr="00346B52" w:rsidRDefault="00B929BF" w:rsidP="00F24ECE">
            <w:pPr>
              <w:jc w:val="center"/>
              <w:rPr>
                <w:rFonts w:asciiTheme="minorHAnsi" w:hAnsiTheme="minorHAnsi" w:cstheme="minorHAnsi"/>
                <w:b/>
              </w:rPr>
            </w:pPr>
            <w:r w:rsidRPr="00346B52">
              <w:rPr>
                <w:rFonts w:asciiTheme="minorHAnsi" w:hAnsiTheme="minorHAnsi" w:cstheme="minorHAnsi"/>
                <w:b/>
              </w:rPr>
              <w:t>17</w:t>
            </w:r>
          </w:p>
        </w:tc>
        <w:tc>
          <w:tcPr>
            <w:tcW w:w="7040" w:type="dxa"/>
            <w:tcBorders>
              <w:left w:val="single" w:sz="4" w:space="0" w:color="auto"/>
            </w:tcBorders>
            <w:shd w:val="clear" w:color="auto" w:fill="auto"/>
          </w:tcPr>
          <w:p w:rsidR="00294F00" w:rsidRPr="00346B52" w:rsidRDefault="00294F00" w:rsidP="00F24ECE">
            <w:pPr>
              <w:rPr>
                <w:rFonts w:asciiTheme="minorHAnsi" w:hAnsiTheme="minorHAnsi" w:cstheme="minorHAnsi"/>
                <w:b/>
              </w:rPr>
            </w:pPr>
            <w:r w:rsidRPr="00346B52">
              <w:rPr>
                <w:rFonts w:asciiTheme="minorHAnsi" w:hAnsiTheme="minorHAnsi" w:cstheme="minorHAnsi"/>
                <w:b/>
              </w:rPr>
              <w:t>ΒΟΙΩΤΙΑΣ</w:t>
            </w:r>
          </w:p>
        </w:tc>
      </w:tr>
      <w:tr w:rsidR="00B929BF" w:rsidRPr="00346B52" w:rsidTr="00F24ECE">
        <w:tc>
          <w:tcPr>
            <w:tcW w:w="391" w:type="dxa"/>
            <w:vMerge/>
            <w:tcBorders>
              <w:left w:val="nil"/>
              <w:right w:val="single" w:sz="4" w:space="0" w:color="auto"/>
            </w:tcBorders>
            <w:shd w:val="clear" w:color="auto" w:fill="auto"/>
          </w:tcPr>
          <w:p w:rsidR="00B929BF" w:rsidRPr="00346B52" w:rsidRDefault="00B929BF" w:rsidP="00F24ECE">
            <w:pPr>
              <w:rPr>
                <w:rFonts w:asciiTheme="minorHAnsi" w:hAnsiTheme="minorHAnsi" w:cstheme="minorHAnsi"/>
                <w:b/>
              </w:rPr>
            </w:pPr>
          </w:p>
        </w:tc>
        <w:tc>
          <w:tcPr>
            <w:tcW w:w="1841" w:type="dxa"/>
            <w:tcBorders>
              <w:left w:val="single" w:sz="4" w:space="0" w:color="auto"/>
            </w:tcBorders>
            <w:shd w:val="clear" w:color="auto" w:fill="auto"/>
          </w:tcPr>
          <w:p w:rsidR="00B929BF" w:rsidRPr="00346B52" w:rsidRDefault="00B929BF" w:rsidP="00F24ECE">
            <w:pPr>
              <w:ind w:left="320"/>
              <w:rPr>
                <w:rFonts w:asciiTheme="minorHAnsi" w:hAnsiTheme="minorHAnsi" w:cstheme="minorHAnsi"/>
              </w:rPr>
            </w:pPr>
          </w:p>
        </w:tc>
        <w:tc>
          <w:tcPr>
            <w:tcW w:w="701" w:type="dxa"/>
            <w:tcBorders>
              <w:left w:val="single" w:sz="4" w:space="0" w:color="auto"/>
            </w:tcBorders>
            <w:shd w:val="clear" w:color="auto" w:fill="auto"/>
            <w:vAlign w:val="center"/>
          </w:tcPr>
          <w:p w:rsidR="00B929BF" w:rsidRPr="00346B52" w:rsidRDefault="00B929BF" w:rsidP="00F24ECE">
            <w:pPr>
              <w:jc w:val="center"/>
              <w:rPr>
                <w:rFonts w:asciiTheme="minorHAnsi" w:hAnsiTheme="minorHAnsi" w:cstheme="minorHAnsi"/>
                <w:b/>
              </w:rPr>
            </w:pPr>
            <w:r w:rsidRPr="00346B52">
              <w:rPr>
                <w:rFonts w:asciiTheme="minorHAnsi" w:hAnsiTheme="minorHAnsi" w:cstheme="minorHAnsi"/>
                <w:b/>
              </w:rPr>
              <w:t>19</w:t>
            </w:r>
          </w:p>
        </w:tc>
        <w:tc>
          <w:tcPr>
            <w:tcW w:w="7040" w:type="dxa"/>
            <w:tcBorders>
              <w:left w:val="single" w:sz="4" w:space="0" w:color="auto"/>
            </w:tcBorders>
            <w:shd w:val="clear" w:color="auto" w:fill="auto"/>
          </w:tcPr>
          <w:p w:rsidR="00B929BF" w:rsidRPr="00346B52" w:rsidRDefault="00B929BF" w:rsidP="00F24ECE">
            <w:pPr>
              <w:rPr>
                <w:rFonts w:asciiTheme="minorHAnsi" w:hAnsiTheme="minorHAnsi" w:cstheme="minorHAnsi"/>
                <w:b/>
              </w:rPr>
            </w:pPr>
            <w:r w:rsidRPr="00346B52">
              <w:rPr>
                <w:rFonts w:asciiTheme="minorHAnsi" w:hAnsiTheme="minorHAnsi" w:cstheme="minorHAnsi"/>
                <w:b/>
              </w:rPr>
              <w:t>ΑΤΤΙΚΗΣ</w:t>
            </w:r>
          </w:p>
        </w:tc>
      </w:tr>
      <w:tr w:rsidR="00294F00" w:rsidRPr="00346B52" w:rsidTr="009454A2">
        <w:tc>
          <w:tcPr>
            <w:tcW w:w="391" w:type="dxa"/>
            <w:vMerge/>
            <w:tcBorders>
              <w:left w:val="nil"/>
              <w:right w:val="single" w:sz="4" w:space="0" w:color="auto"/>
            </w:tcBorders>
            <w:shd w:val="clear" w:color="auto" w:fill="auto"/>
          </w:tcPr>
          <w:p w:rsidR="00F24ECE" w:rsidRPr="00346B52" w:rsidRDefault="00F24ECE" w:rsidP="00F24ECE">
            <w:pPr>
              <w:rPr>
                <w:rFonts w:asciiTheme="minorHAnsi" w:hAnsiTheme="minorHAnsi" w:cstheme="minorHAnsi"/>
                <w:b/>
              </w:rPr>
            </w:pPr>
          </w:p>
        </w:tc>
        <w:tc>
          <w:tcPr>
            <w:tcW w:w="1841" w:type="dxa"/>
            <w:vMerge w:val="restart"/>
            <w:tcBorders>
              <w:left w:val="single" w:sz="4" w:space="0" w:color="auto"/>
            </w:tcBorders>
            <w:shd w:val="clear" w:color="auto" w:fill="auto"/>
          </w:tcPr>
          <w:p w:rsidR="00F24ECE" w:rsidRPr="00346B52" w:rsidRDefault="00F24ECE" w:rsidP="00F24ECE">
            <w:pPr>
              <w:numPr>
                <w:ilvl w:val="0"/>
                <w:numId w:val="9"/>
              </w:numPr>
              <w:ind w:left="320" w:hanging="320"/>
              <w:rPr>
                <w:rFonts w:asciiTheme="minorHAnsi" w:hAnsiTheme="minorHAnsi" w:cstheme="minorHAnsi"/>
                <w:b/>
              </w:rPr>
            </w:pPr>
            <w:r w:rsidRPr="00346B52">
              <w:rPr>
                <w:rFonts w:asciiTheme="minorHAnsi" w:hAnsiTheme="minorHAnsi" w:cstheme="minorHAnsi"/>
                <w:b/>
              </w:rPr>
              <w:t>Στα νομικά ή φυσικά πρόσωπα:</w:t>
            </w:r>
          </w:p>
        </w:tc>
        <w:tc>
          <w:tcPr>
            <w:tcW w:w="701" w:type="dxa"/>
            <w:tcBorders>
              <w:left w:val="single" w:sz="4" w:space="0" w:color="auto"/>
            </w:tcBorders>
            <w:shd w:val="clear" w:color="auto" w:fill="auto"/>
          </w:tcPr>
          <w:p w:rsidR="00F24ECE" w:rsidRPr="00346B52" w:rsidRDefault="00F24ECE" w:rsidP="00F24ECE">
            <w:pPr>
              <w:rPr>
                <w:rFonts w:asciiTheme="minorHAnsi" w:hAnsiTheme="minorHAnsi" w:cstheme="minorHAnsi"/>
                <w:b/>
              </w:rPr>
            </w:pPr>
            <w:r w:rsidRPr="00346B52">
              <w:rPr>
                <w:rFonts w:asciiTheme="minorHAnsi" w:hAnsiTheme="minorHAnsi" w:cstheme="minorHAnsi"/>
                <w:b/>
              </w:rPr>
              <w:t>α/α</w:t>
            </w:r>
          </w:p>
        </w:tc>
        <w:tc>
          <w:tcPr>
            <w:tcW w:w="7040" w:type="dxa"/>
            <w:tcBorders>
              <w:left w:val="single" w:sz="4" w:space="0" w:color="auto"/>
            </w:tcBorders>
            <w:shd w:val="clear" w:color="auto" w:fill="auto"/>
          </w:tcPr>
          <w:p w:rsidR="00F24ECE" w:rsidRPr="00346B52" w:rsidRDefault="00F24ECE" w:rsidP="00F24ECE">
            <w:pPr>
              <w:rPr>
                <w:rFonts w:asciiTheme="minorHAnsi" w:hAnsiTheme="minorHAnsi" w:cstheme="minorHAnsi"/>
                <w:b/>
              </w:rPr>
            </w:pPr>
            <w:r w:rsidRPr="00346B52">
              <w:rPr>
                <w:rFonts w:asciiTheme="minorHAnsi" w:hAnsiTheme="minorHAnsi" w:cstheme="minorHAnsi"/>
                <w:b/>
              </w:rPr>
              <w:t xml:space="preserve">Επωνυμία ή </w:t>
            </w:r>
            <w:proofErr w:type="spellStart"/>
            <w:r w:rsidRPr="00346B52">
              <w:rPr>
                <w:rFonts w:asciiTheme="minorHAnsi" w:hAnsiTheme="minorHAnsi" w:cstheme="minorHAnsi"/>
                <w:b/>
              </w:rPr>
              <w:t>Ονομ</w:t>
            </w:r>
            <w:proofErr w:type="spellEnd"/>
            <w:r w:rsidRPr="00346B52">
              <w:rPr>
                <w:rFonts w:asciiTheme="minorHAnsi" w:hAnsiTheme="minorHAnsi" w:cstheme="minorHAnsi"/>
                <w:b/>
              </w:rPr>
              <w:t>/</w:t>
            </w:r>
            <w:proofErr w:type="spellStart"/>
            <w:r w:rsidRPr="00346B52">
              <w:rPr>
                <w:rFonts w:asciiTheme="minorHAnsi" w:hAnsiTheme="minorHAnsi" w:cstheme="minorHAnsi"/>
                <w:b/>
              </w:rPr>
              <w:t>πώνυμο</w:t>
            </w:r>
            <w:proofErr w:type="spellEnd"/>
            <w:r w:rsidRPr="00346B52">
              <w:rPr>
                <w:rFonts w:asciiTheme="minorHAnsi" w:hAnsiTheme="minorHAnsi" w:cstheme="minorHAnsi"/>
                <w:b/>
              </w:rPr>
              <w:t xml:space="preserve"> κατά περίπτωση</w:t>
            </w:r>
          </w:p>
        </w:tc>
      </w:tr>
      <w:tr w:rsidR="00294F00" w:rsidRPr="00346B52" w:rsidTr="009454A2">
        <w:tc>
          <w:tcPr>
            <w:tcW w:w="391" w:type="dxa"/>
            <w:vMerge/>
            <w:tcBorders>
              <w:left w:val="nil"/>
              <w:right w:val="single" w:sz="4" w:space="0" w:color="auto"/>
            </w:tcBorders>
            <w:shd w:val="clear" w:color="auto" w:fill="auto"/>
          </w:tcPr>
          <w:p w:rsidR="00F24ECE" w:rsidRPr="00346B52"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346B52" w:rsidRDefault="00F24ECE" w:rsidP="00F24ECE">
            <w:pPr>
              <w:rPr>
                <w:rFonts w:asciiTheme="minorHAnsi" w:hAnsiTheme="minorHAnsi" w:cstheme="minorHAnsi"/>
              </w:rPr>
            </w:pPr>
          </w:p>
        </w:tc>
        <w:tc>
          <w:tcPr>
            <w:tcW w:w="701" w:type="dxa"/>
            <w:tcBorders>
              <w:left w:val="single" w:sz="4" w:space="0" w:color="auto"/>
            </w:tcBorders>
            <w:shd w:val="clear" w:color="auto" w:fill="auto"/>
          </w:tcPr>
          <w:p w:rsidR="00F24ECE" w:rsidRPr="00346B52" w:rsidRDefault="00F24ECE" w:rsidP="00F24ECE">
            <w:pPr>
              <w:rPr>
                <w:rFonts w:asciiTheme="minorHAnsi" w:hAnsiTheme="minorHAnsi" w:cstheme="minorHAnsi"/>
              </w:rPr>
            </w:pPr>
          </w:p>
        </w:tc>
        <w:tc>
          <w:tcPr>
            <w:tcW w:w="7040" w:type="dxa"/>
            <w:tcBorders>
              <w:left w:val="single" w:sz="4" w:space="0" w:color="auto"/>
            </w:tcBorders>
            <w:shd w:val="clear" w:color="auto" w:fill="auto"/>
          </w:tcPr>
          <w:p w:rsidR="00F24ECE" w:rsidRPr="00346B52" w:rsidRDefault="00F24ECE" w:rsidP="00F24ECE">
            <w:pPr>
              <w:rPr>
                <w:rFonts w:asciiTheme="minorHAnsi" w:hAnsiTheme="minorHAnsi" w:cstheme="minorHAnsi"/>
              </w:rPr>
            </w:pPr>
          </w:p>
        </w:tc>
      </w:tr>
      <w:tr w:rsidR="00294F00" w:rsidRPr="00346B52" w:rsidTr="009454A2">
        <w:tc>
          <w:tcPr>
            <w:tcW w:w="391" w:type="dxa"/>
            <w:vMerge/>
            <w:tcBorders>
              <w:left w:val="nil"/>
              <w:right w:val="single" w:sz="4" w:space="0" w:color="auto"/>
            </w:tcBorders>
            <w:shd w:val="clear" w:color="auto" w:fill="auto"/>
          </w:tcPr>
          <w:p w:rsidR="00F24ECE" w:rsidRPr="00346B52"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346B52" w:rsidRDefault="00F24ECE" w:rsidP="00F24ECE">
            <w:pPr>
              <w:rPr>
                <w:rFonts w:asciiTheme="minorHAnsi" w:hAnsiTheme="minorHAnsi" w:cstheme="minorHAnsi"/>
              </w:rPr>
            </w:pPr>
          </w:p>
        </w:tc>
        <w:tc>
          <w:tcPr>
            <w:tcW w:w="701" w:type="dxa"/>
            <w:tcBorders>
              <w:left w:val="single" w:sz="4" w:space="0" w:color="auto"/>
            </w:tcBorders>
            <w:shd w:val="clear" w:color="auto" w:fill="auto"/>
          </w:tcPr>
          <w:p w:rsidR="00F24ECE" w:rsidRPr="00346B52" w:rsidRDefault="00F24ECE" w:rsidP="00F24ECE">
            <w:pPr>
              <w:rPr>
                <w:rFonts w:asciiTheme="minorHAnsi" w:hAnsiTheme="minorHAnsi" w:cstheme="minorHAnsi"/>
              </w:rPr>
            </w:pPr>
          </w:p>
        </w:tc>
        <w:tc>
          <w:tcPr>
            <w:tcW w:w="7040" w:type="dxa"/>
            <w:tcBorders>
              <w:left w:val="single" w:sz="4" w:space="0" w:color="auto"/>
            </w:tcBorders>
            <w:shd w:val="clear" w:color="auto" w:fill="auto"/>
          </w:tcPr>
          <w:p w:rsidR="00F24ECE" w:rsidRPr="00346B52" w:rsidRDefault="00F24ECE" w:rsidP="00F24ECE">
            <w:pPr>
              <w:rPr>
                <w:rFonts w:asciiTheme="minorHAnsi" w:hAnsiTheme="minorHAnsi" w:cstheme="minorHAnsi"/>
              </w:rPr>
            </w:pPr>
          </w:p>
        </w:tc>
      </w:tr>
    </w:tbl>
    <w:p w:rsidR="00A52778" w:rsidRPr="00346B52" w:rsidRDefault="00A52778" w:rsidP="00295CB2">
      <w:pPr>
        <w:pStyle w:val="a4"/>
        <w:rPr>
          <w:rFonts w:asciiTheme="minorHAnsi" w:hAnsiTheme="minorHAnsi" w:cstheme="minorHAnsi"/>
          <w:sz w:val="20"/>
          <w:u w:val="single"/>
        </w:rPr>
      </w:pPr>
    </w:p>
    <w:p w:rsidR="00A52778" w:rsidRPr="00346B52" w:rsidRDefault="00A52778" w:rsidP="00295CB2">
      <w:pPr>
        <w:pStyle w:val="a4"/>
        <w:rPr>
          <w:rFonts w:asciiTheme="minorHAnsi" w:hAnsiTheme="minorHAnsi" w:cstheme="minorHAnsi"/>
          <w:sz w:val="20"/>
          <w:u w:val="single"/>
        </w:rPr>
      </w:pPr>
    </w:p>
    <w:sectPr w:rsidR="00A52778" w:rsidRPr="00346B52"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E0" w:rsidRDefault="00A674E0">
      <w:r>
        <w:separator/>
      </w:r>
    </w:p>
  </w:endnote>
  <w:endnote w:type="continuationSeparator" w:id="0">
    <w:p w:rsidR="00A674E0" w:rsidRDefault="00A67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E0" w:rsidRDefault="00A674E0">
      <w:r>
        <w:separator/>
      </w:r>
    </w:p>
  </w:footnote>
  <w:footnote w:type="continuationSeparator" w:id="0">
    <w:p w:rsidR="00A674E0" w:rsidRDefault="00A67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007E04"/>
    <w:multiLevelType w:val="hybridMultilevel"/>
    <w:tmpl w:val="CC069FA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474F9"/>
    <w:rsid w:val="000503B7"/>
    <w:rsid w:val="00051FC7"/>
    <w:rsid w:val="00054D6A"/>
    <w:rsid w:val="00055EC3"/>
    <w:rsid w:val="000562A3"/>
    <w:rsid w:val="00057C93"/>
    <w:rsid w:val="000A6678"/>
    <w:rsid w:val="000B27C7"/>
    <w:rsid w:val="000B49C6"/>
    <w:rsid w:val="000B6980"/>
    <w:rsid w:val="000D3E6A"/>
    <w:rsid w:val="00100296"/>
    <w:rsid w:val="001323EC"/>
    <w:rsid w:val="00150A9F"/>
    <w:rsid w:val="001A396C"/>
    <w:rsid w:val="001B039E"/>
    <w:rsid w:val="001D119A"/>
    <w:rsid w:val="001D2F3E"/>
    <w:rsid w:val="001D3CA0"/>
    <w:rsid w:val="001F0E82"/>
    <w:rsid w:val="001F1B01"/>
    <w:rsid w:val="00232577"/>
    <w:rsid w:val="00245CD8"/>
    <w:rsid w:val="0025489E"/>
    <w:rsid w:val="00267107"/>
    <w:rsid w:val="00294F00"/>
    <w:rsid w:val="00295417"/>
    <w:rsid w:val="00295CB2"/>
    <w:rsid w:val="002B782D"/>
    <w:rsid w:val="002C6B60"/>
    <w:rsid w:val="002E1AFA"/>
    <w:rsid w:val="002F3D8F"/>
    <w:rsid w:val="002F6D1E"/>
    <w:rsid w:val="00305164"/>
    <w:rsid w:val="003248D7"/>
    <w:rsid w:val="003433BD"/>
    <w:rsid w:val="00346B52"/>
    <w:rsid w:val="00360EF7"/>
    <w:rsid w:val="0037203A"/>
    <w:rsid w:val="003A3664"/>
    <w:rsid w:val="003D20B2"/>
    <w:rsid w:val="003F36CD"/>
    <w:rsid w:val="003F6AF2"/>
    <w:rsid w:val="003F7044"/>
    <w:rsid w:val="00402E30"/>
    <w:rsid w:val="004179CF"/>
    <w:rsid w:val="00435CDF"/>
    <w:rsid w:val="0047481A"/>
    <w:rsid w:val="004805BC"/>
    <w:rsid w:val="00483F26"/>
    <w:rsid w:val="004C51F9"/>
    <w:rsid w:val="005274B7"/>
    <w:rsid w:val="0053026A"/>
    <w:rsid w:val="005632A9"/>
    <w:rsid w:val="005823F5"/>
    <w:rsid w:val="00592557"/>
    <w:rsid w:val="00592FC9"/>
    <w:rsid w:val="00596139"/>
    <w:rsid w:val="005A332A"/>
    <w:rsid w:val="005B0231"/>
    <w:rsid w:val="005C2C47"/>
    <w:rsid w:val="005D5372"/>
    <w:rsid w:val="00614278"/>
    <w:rsid w:val="006359E4"/>
    <w:rsid w:val="006443C8"/>
    <w:rsid w:val="0065331A"/>
    <w:rsid w:val="006A48AB"/>
    <w:rsid w:val="006B4A3E"/>
    <w:rsid w:val="006C1AF7"/>
    <w:rsid w:val="006D577A"/>
    <w:rsid w:val="006E37D7"/>
    <w:rsid w:val="006F1614"/>
    <w:rsid w:val="006F21F3"/>
    <w:rsid w:val="006F3497"/>
    <w:rsid w:val="0071377E"/>
    <w:rsid w:val="00735102"/>
    <w:rsid w:val="00743360"/>
    <w:rsid w:val="00751EBD"/>
    <w:rsid w:val="007616D7"/>
    <w:rsid w:val="0077722B"/>
    <w:rsid w:val="007824D6"/>
    <w:rsid w:val="007A37E8"/>
    <w:rsid w:val="007E57CA"/>
    <w:rsid w:val="007F6DCB"/>
    <w:rsid w:val="007F775A"/>
    <w:rsid w:val="008166D8"/>
    <w:rsid w:val="00881646"/>
    <w:rsid w:val="008871FB"/>
    <w:rsid w:val="00890D43"/>
    <w:rsid w:val="008957BA"/>
    <w:rsid w:val="008A393B"/>
    <w:rsid w:val="008B675D"/>
    <w:rsid w:val="008C60F6"/>
    <w:rsid w:val="008C7787"/>
    <w:rsid w:val="008E4158"/>
    <w:rsid w:val="008E5217"/>
    <w:rsid w:val="008F02DA"/>
    <w:rsid w:val="008F0C00"/>
    <w:rsid w:val="00902F6F"/>
    <w:rsid w:val="0090368F"/>
    <w:rsid w:val="00904C71"/>
    <w:rsid w:val="00910E3A"/>
    <w:rsid w:val="009134B1"/>
    <w:rsid w:val="0092103D"/>
    <w:rsid w:val="009454A2"/>
    <w:rsid w:val="009604C0"/>
    <w:rsid w:val="00971E58"/>
    <w:rsid w:val="009777DF"/>
    <w:rsid w:val="009778DE"/>
    <w:rsid w:val="00981FFA"/>
    <w:rsid w:val="009D0B82"/>
    <w:rsid w:val="009D795C"/>
    <w:rsid w:val="00A16E33"/>
    <w:rsid w:val="00A52778"/>
    <w:rsid w:val="00A674E0"/>
    <w:rsid w:val="00AA5FFD"/>
    <w:rsid w:val="00AB5184"/>
    <w:rsid w:val="00AC7E98"/>
    <w:rsid w:val="00AD3D1A"/>
    <w:rsid w:val="00AD4FBC"/>
    <w:rsid w:val="00AD6570"/>
    <w:rsid w:val="00AF79F7"/>
    <w:rsid w:val="00B03974"/>
    <w:rsid w:val="00B212C6"/>
    <w:rsid w:val="00B22367"/>
    <w:rsid w:val="00B523A2"/>
    <w:rsid w:val="00B90D93"/>
    <w:rsid w:val="00B929BF"/>
    <w:rsid w:val="00B93030"/>
    <w:rsid w:val="00BA7353"/>
    <w:rsid w:val="00BB3F47"/>
    <w:rsid w:val="00BD4665"/>
    <w:rsid w:val="00BF6B38"/>
    <w:rsid w:val="00C13B78"/>
    <w:rsid w:val="00C56CD9"/>
    <w:rsid w:val="00C64F2D"/>
    <w:rsid w:val="00C9158B"/>
    <w:rsid w:val="00C9283F"/>
    <w:rsid w:val="00CD680A"/>
    <w:rsid w:val="00D14A76"/>
    <w:rsid w:val="00D4183B"/>
    <w:rsid w:val="00D46C35"/>
    <w:rsid w:val="00D646C4"/>
    <w:rsid w:val="00D75CAF"/>
    <w:rsid w:val="00DD3A57"/>
    <w:rsid w:val="00DD633B"/>
    <w:rsid w:val="00DD7EEC"/>
    <w:rsid w:val="00DF0C3B"/>
    <w:rsid w:val="00E13BFB"/>
    <w:rsid w:val="00E15BD9"/>
    <w:rsid w:val="00E2539B"/>
    <w:rsid w:val="00E34B81"/>
    <w:rsid w:val="00E43D42"/>
    <w:rsid w:val="00E81776"/>
    <w:rsid w:val="00E90690"/>
    <w:rsid w:val="00E95135"/>
    <w:rsid w:val="00EB7751"/>
    <w:rsid w:val="00EC0505"/>
    <w:rsid w:val="00ED36FC"/>
    <w:rsid w:val="00ED3D8A"/>
    <w:rsid w:val="00EE15B2"/>
    <w:rsid w:val="00F024E1"/>
    <w:rsid w:val="00F034A6"/>
    <w:rsid w:val="00F135C2"/>
    <w:rsid w:val="00F16C4F"/>
    <w:rsid w:val="00F20778"/>
    <w:rsid w:val="00F24ECE"/>
    <w:rsid w:val="00F575B1"/>
    <w:rsid w:val="00F70161"/>
    <w:rsid w:val="00F771D1"/>
    <w:rsid w:val="00F855E0"/>
    <w:rsid w:val="00F867F1"/>
    <w:rsid w:val="00F95A8F"/>
    <w:rsid w:val="00FD7CAE"/>
    <w:rsid w:val="00FE1838"/>
    <w:rsid w:val="00FF7E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basedOn w:val="a0"/>
    <w:rsid w:val="00346B5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agric.gr/images/stories/docs/agrotis/Georgika_Farmaka/Fytoeigionomikos_Elegxos/plhrofories_Spodoptera_frugiperda2209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1025</Words>
  <Characters>6768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4</cp:revision>
  <cp:lastPrinted>2024-05-01T08:01:00Z</cp:lastPrinted>
  <dcterms:created xsi:type="dcterms:W3CDTF">2024-05-01T07:51:00Z</dcterms:created>
  <dcterms:modified xsi:type="dcterms:W3CDTF">2024-05-27T07:55:00Z</dcterms:modified>
</cp:coreProperties>
</file>